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N/>
        <w:bidi w:val="0"/>
        <w:adjustRightInd/>
        <w:snapToGrid w:val="0"/>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年法治政府建设工作情况</w:t>
      </w:r>
    </w:p>
    <w:p>
      <w:pPr>
        <w:keepNext w:val="0"/>
        <w:keepLines w:val="0"/>
        <w:pageBreakBefore w:val="0"/>
        <w:widowControl w:val="0"/>
        <w:kinsoku/>
        <w:wordWrap/>
        <w:topLinePunct w:val="0"/>
        <w:autoSpaceDN/>
        <w:bidi w:val="0"/>
        <w:adjustRightInd/>
        <w:snapToGrid w:val="0"/>
        <w:spacing w:line="560" w:lineRule="exact"/>
        <w:jc w:val="center"/>
        <w:textAlignment w:val="auto"/>
        <w:rPr>
          <w:rFonts w:ascii="楷体" w:hAnsi="楷体" w:eastAsia="楷体" w:cs="方正小标宋简体"/>
          <w:sz w:val="28"/>
          <w:szCs w:val="44"/>
        </w:rPr>
      </w:pPr>
      <w:r>
        <w:rPr>
          <w:rFonts w:hint="eastAsia" w:ascii="楷体" w:hAnsi="楷体" w:eastAsia="楷体" w:cs="方正小标宋简体"/>
          <w:sz w:val="28"/>
          <w:szCs w:val="44"/>
        </w:rPr>
        <w:t>长宁区城市管理行政执法局</w:t>
      </w:r>
    </w:p>
    <w:p>
      <w:pPr>
        <w:keepNext w:val="0"/>
        <w:keepLines w:val="0"/>
        <w:pageBreakBefore w:val="0"/>
        <w:widowControl w:val="0"/>
        <w:kinsoku/>
        <w:wordWrap/>
        <w:topLinePunct w:val="0"/>
        <w:autoSpaceDN/>
        <w:bidi w:val="0"/>
        <w:adjustRightInd/>
        <w:snapToGrid w:val="0"/>
        <w:spacing w:line="560" w:lineRule="exact"/>
        <w:jc w:val="center"/>
        <w:textAlignment w:val="auto"/>
        <w:rPr>
          <w:rFonts w:ascii="楷体" w:hAnsi="楷体" w:eastAsia="楷体"/>
          <w:szCs w:val="32"/>
        </w:rPr>
      </w:pPr>
      <w:r>
        <w:rPr>
          <w:rFonts w:hint="eastAsia" w:ascii="楷体" w:hAnsi="楷体" w:eastAsia="楷体" w:cs="方正小标宋简体"/>
          <w:sz w:val="28"/>
          <w:szCs w:val="44"/>
        </w:rPr>
        <w:t>202</w:t>
      </w:r>
      <w:r>
        <w:rPr>
          <w:rFonts w:hint="eastAsia" w:ascii="楷体" w:hAnsi="楷体" w:eastAsia="楷体" w:cs="方正小标宋简体"/>
          <w:sz w:val="28"/>
          <w:szCs w:val="44"/>
          <w:lang w:val="en-US" w:eastAsia="zh-CN"/>
        </w:rPr>
        <w:t>3</w:t>
      </w:r>
      <w:r>
        <w:rPr>
          <w:rFonts w:hint="eastAsia" w:ascii="楷体" w:hAnsi="楷体" w:eastAsia="楷体" w:cs="方正小标宋简体"/>
          <w:sz w:val="28"/>
          <w:szCs w:val="44"/>
        </w:rPr>
        <w:t>年12月</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2023年是全面学习贯彻党的二十大精神的开局之年，也是实施“十四五”规划承上启下的关键之年，长宁区城管执法</w:t>
      </w:r>
      <w:r>
        <w:rPr>
          <w:rFonts w:hint="eastAsia" w:ascii="仿宋" w:hAnsi="仿宋" w:eastAsia="仿宋"/>
          <w:sz w:val="32"/>
          <w:szCs w:val="32"/>
          <w:lang w:eastAsia="zh-CN"/>
        </w:rPr>
        <w:t>局</w:t>
      </w:r>
      <w:r>
        <w:rPr>
          <w:rFonts w:hint="eastAsia" w:ascii="仿宋" w:hAnsi="仿宋" w:eastAsia="仿宋"/>
          <w:sz w:val="32"/>
          <w:szCs w:val="32"/>
        </w:rPr>
        <w:t>以学习贯彻习近平习近平新时代中国特色社会主义思想主题教育为主线，持续践行“人民城市”理念，以法治政府示范创建为动能，聚焦责任制，统筹内外，立足实际，全面落实各项法治建设工作，取得较好的成效。根据</w:t>
      </w:r>
      <w:r>
        <w:rPr>
          <w:rFonts w:hint="eastAsia" w:ascii="仿宋_GB2312" w:hAnsi="仿宋_GB2312" w:eastAsia="仿宋_GB2312" w:cs="仿宋_GB2312"/>
          <w:sz w:val="32"/>
          <w:szCs w:val="32"/>
          <w:lang w:val="en-US" w:eastAsia="zh-CN"/>
        </w:rPr>
        <w:t>《上海法治政府建设规划（2021-2025年）》、《法治政府建设与责任落实督察工作规定》有关规定和要求</w:t>
      </w:r>
      <w:r>
        <w:rPr>
          <w:rFonts w:hint="eastAsia" w:ascii="仿宋" w:hAnsi="仿宋" w:eastAsia="仿宋"/>
          <w:sz w:val="32"/>
          <w:szCs w:val="32"/>
        </w:rPr>
        <w:t>，现将我局法治建设工作汇报如下：</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黑体" w:hAnsi="黑体" w:eastAsia="黑体"/>
          <w:sz w:val="32"/>
          <w:szCs w:val="32"/>
        </w:rPr>
      </w:pPr>
      <w:r>
        <w:rPr>
          <w:rFonts w:hint="eastAsia" w:ascii="黑体" w:hAnsi="黑体" w:eastAsia="黑体" w:cs="Times New Roman"/>
          <w:sz w:val="32"/>
          <w:szCs w:val="32"/>
        </w:rPr>
        <w:t>一</w:t>
      </w:r>
      <w:r>
        <w:rPr>
          <w:rFonts w:hint="eastAsia" w:ascii="黑体" w:hAnsi="黑体" w:eastAsia="黑体"/>
          <w:sz w:val="32"/>
          <w:szCs w:val="32"/>
        </w:rPr>
        <w:t>、</w:t>
      </w:r>
      <w:r>
        <w:rPr>
          <w:rFonts w:hint="eastAsia" w:ascii="黑体" w:hAnsi="黑体" w:eastAsia="黑体" w:cs="Times New Roman"/>
          <w:sz w:val="32"/>
          <w:szCs w:val="32"/>
        </w:rPr>
        <w:t>推进法治政府建设的主要举措和成效</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今年以来，区城管执法局以标准化大队验收为抓手，以区委巡察为指导，全面推进严格规范公正文明执法，进一步提升城市管理和执法水平，强化执法服务保障，努力营造安全、干净、有序的城市市容环境和法治化营商环境。</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一</w:t>
      </w:r>
      <w:r>
        <w:rPr>
          <w:rFonts w:hint="eastAsia" w:ascii="楷体" w:hAnsi="楷体" w:eastAsia="楷体" w:cs="楷体"/>
          <w:sz w:val="32"/>
          <w:szCs w:val="32"/>
          <w:lang w:eastAsia="zh-CN"/>
        </w:rPr>
        <w:t>）</w:t>
      </w:r>
      <w:r>
        <w:rPr>
          <w:rFonts w:hint="eastAsia" w:ascii="楷体" w:hAnsi="楷体" w:eastAsia="楷体" w:cs="楷体"/>
          <w:sz w:val="32"/>
          <w:szCs w:val="32"/>
        </w:rPr>
        <w:t>多措并举提质效，扎实推动主题教育走深走实</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lang w:val="en-US" w:eastAsia="zh-CN"/>
        </w:rPr>
        <w:t xml:space="preserve">1. </w:t>
      </w:r>
      <w:r>
        <w:rPr>
          <w:rFonts w:hint="eastAsia" w:ascii="宋体" w:hAnsi="宋体" w:eastAsia="仿宋_GB2312" w:cs="Times New Roman"/>
          <w:sz w:val="32"/>
          <w:szCs w:val="32"/>
        </w:rPr>
        <w:t>抓实理论学习，贯通融合悟思想。坚持高标准、严要求，不折不扣落实读书班、中心组学习、专题党课等规定动作。领导班子带头采取集中式学习、互动式交流等方式举办读书班，主题教育开展以来，局党组班子5名成员到基层党支部上党课，班子成员之间互相启迪思路、共同提高，达到了以学铸魂、以学增智、以学正风、以学促干的效果。各党支部结合实际制定学习计划，采取务实管用的方式方法组织开展理论学习，通过参观凝聚力工程博物馆、“踔厉奋发强国防、勇毅前行向复兴”上海全民国防教育主题展，观看电影党课《志愿者》，与街镇中队联合开展主题党日等形式，创新开展主题教育。举办全区城管执法系统学习贯彻党的二十大精神专题培训班，一体提升系统党员干部的政治理论水平。我局制作的微视频《当好新时代的蓝色使者》荣获“长宁区2023年度优秀理论宣讲微视频”。</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lang w:val="en-US" w:eastAsia="zh-CN"/>
        </w:rPr>
        <w:t xml:space="preserve">2. </w:t>
      </w:r>
      <w:r>
        <w:rPr>
          <w:rFonts w:hint="eastAsia" w:ascii="宋体" w:hAnsi="宋体" w:eastAsia="仿宋_GB2312" w:cs="Times New Roman"/>
          <w:sz w:val="32"/>
          <w:szCs w:val="32"/>
        </w:rPr>
        <w:t>坚持为民服务，实干担当解民忧。结合城管工作实际，制定大兴调查研究实施方案。结合主题教育，班子成员围绕聚焦城管数字化转型、违法建筑治理、街镇综合执法法律风险应对、完善执法监督体系等课题开展调研，通过摸清情况、分析问题，从而找准对策、推动发展。截至目前，共开展调研84次，形成调研报告3篇，排摸问题15个，提出相应措施21条。基层党支部弘扬“凝聚力工程”发源地精神，深化与居民区党建联建共建机制。深入推进“四百”大走访，落实区级机关赋能基层项目，开展城管执法领域法规普法宣传进社区、进园区。机关党支部开展“我执法我普法”宣传月专题活动，面向执法对象、服务企业开展普法宣传、意见征询，为企业纾困解难，助力城区建设发展。</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lang w:val="en-US" w:eastAsia="zh-CN"/>
        </w:rPr>
        <w:t xml:space="preserve">3. </w:t>
      </w:r>
      <w:r>
        <w:rPr>
          <w:rFonts w:hint="eastAsia" w:ascii="宋体" w:hAnsi="宋体" w:eastAsia="仿宋_GB2312" w:cs="Times New Roman"/>
          <w:sz w:val="32"/>
          <w:szCs w:val="32"/>
        </w:rPr>
        <w:t>着力推动发展，全力以赴抓整改。围绕市民群众关心关注及制约系统发展的问题，制定问题清单，明确责任人及责任时限。目前，围绕问题清单已形成整改措施12条，稳步有序推动问题整改落地见效。按照区委巡察要求，成立巡察反馈意见整改工作领导小组，党组班子对照整改工作方案，逐一认领问题，逐项推进整改销项、建章立制，召开巡察整改专题民主生活会，着力加强推进城市治理体系和治理能力现代化、深化全面从严治党、推进基层治理等方面能力建设。</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二</w:t>
      </w:r>
      <w:r>
        <w:rPr>
          <w:rFonts w:hint="eastAsia" w:ascii="楷体" w:hAnsi="楷体" w:eastAsia="楷体" w:cs="楷体"/>
          <w:sz w:val="32"/>
          <w:szCs w:val="32"/>
          <w:lang w:eastAsia="zh-CN"/>
        </w:rPr>
        <w:t>）</w:t>
      </w:r>
      <w:r>
        <w:rPr>
          <w:rFonts w:hint="eastAsia" w:ascii="楷体" w:hAnsi="楷体" w:eastAsia="楷体" w:cs="楷体"/>
          <w:sz w:val="32"/>
          <w:szCs w:val="32"/>
        </w:rPr>
        <w:t>聚焦重点抓关键，推进专项执法行动见行见效</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聚焦违建治理、生态环境保护、违法户外广告设施、住宅小区、建筑垃圾、油烟扰民、在建工地等领域，开展各类专项执法行动。今年以来，全区城管执法部门共办结行政执法案件4031件，处罚金额154.54万元。</w:t>
      </w:r>
    </w:p>
    <w:p>
      <w:pPr>
        <w:keepNext w:val="0"/>
        <w:keepLines w:val="0"/>
        <w:pageBreakBefore w:val="0"/>
        <w:widowControl w:val="0"/>
        <w:numPr>
          <w:ilvl w:val="0"/>
          <w:numId w:val="1"/>
        </w:numPr>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树牢安全发展理念，坚守安全生产底线</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一是开展损坏房屋承重结构专项行动。针对市级层面下发的49处重复投诉点位处置情况作专题研究和指导推进，所有涉诉点位按时间节点全部完成复核销项。以涉破坏房屋承重结构市民服务热线诉件为抓手，对各街镇所涉此类投诉件开展全面自查复核和整治推进，并按标准逐一销项，共自查销项点位69处。立足长效治理，建立健全“5+3”投诉处置管控机制，即现场核实、立案查处、整改恢复、“一案三查”、严守底线5项基层处置机制和派单反馈机制、定期通报、跟踪督办3项监督管理机制。今年以来，共查处损坏房屋承重结构案件103起，处罚金额34万元。</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二是深化违建治理。截至10月底，全年累计拆除存量违建178处、8189.12平方米；拆除新增违建17处、273.71平方米，总体可控，保持动态零增长。以点带面，聚力攻坚别墅私搭乱建问题专项整治。根据自然资源部及市委市政府有关别墅和高档住宅区“私搭乱建”问题整治的重要指示精神，按照区委区政府专题部署，我局会同属地街道于6月下旬全力推进虹桥路2388号皇朝别墅及中华园小区违建整治工作，6月底前完成涉事个案拆除。截至10月底，完成223处（覆盖145户）违建整治任务，达到既定目标的65.6%，整体安全稳定，取得显著阶段性成果。全面开展别墅和低层高档商品住宅私搭乱建行为信息采集工作，并做好分类统计和投诉情况筛查，为推进全区别墅和低层高档商品住宅违建整治夯实基础。多管齐下，持续开展重点区域违建专项排查整治。联合各条线部门，分批开展对医疗机构、厂房仓库、高层楼顶、酒店宾馆、学校等重点区域及部位违建的安全隐患排查整治工作，同时将临证过期建筑纳入监管范围，9月底前全面完成整治任务，共排查点位688处，其中拆除安全隐患点位9处、补证销项7处、完成安全检测13处，并发出48份《临证过期通知单》和2份《整改通知单》，做到应拆尽拆、应检测尽检测、应整改尽整改。</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三是开展净空区无证信鸽（家鸽）专项整治。根据《长宁区机场净空区信鸽（家鸽）整治工作实施方案》分工要求，对本区净空保护区范围涉违法搭建、违法占用物业共用部位鸽舍开展集中整治，10月底前完成市净空办挂名督办的6家养鸽户的试点整治任务。研究制定《长宁区机场净空区无证养鸽户涉违鸽棚整治流程图》，对涉违建鸽棚、涉占用物业公共部位鸽棚分别明确整治工作相应流程，部署各街镇全面开展无证养鸽户情况排摸工作，摸清底数，建立“一户一档”，为下阶段铺开全区净空保护区无证养鸽户违建整治做好充分准备。</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四是开展违法户外广告专项清理行动。根据市城管执法局、市绿化市容局联合下达的2023年违法户外广告设施、户外招牌专项整治任务，其中涉及我区违法广告设施3处/4块，违法户外招牌设施3处/3块，违法户外走字屏5处/5块，研究制定工作方案，采取“督促自拆+整治助拆”等方式，5月底前全面完成销项任务。</w:t>
      </w:r>
    </w:p>
    <w:p>
      <w:pPr>
        <w:keepNext w:val="0"/>
        <w:keepLines w:val="0"/>
        <w:pageBreakBefore w:val="0"/>
        <w:widowControl w:val="0"/>
        <w:numPr>
          <w:ilvl w:val="0"/>
          <w:numId w:val="1"/>
        </w:numPr>
        <w:kinsoku/>
        <w:wordWrap/>
        <w:topLinePunct w:val="0"/>
        <w:autoSpaceDN/>
        <w:bidi w:val="0"/>
        <w:adjustRightInd/>
        <w:snapToGrid w:val="0"/>
        <w:spacing w:line="560" w:lineRule="exact"/>
        <w:ind w:left="0" w:leftChars="0"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贯彻生态文明思想，加强生态环境保护</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围绕改善生态环境总要求，结合市环保督察反馈情况，切实履行城管执法在市容环境、环境保护、河道管理等领域的执法职责，加大重点事项执法力度，加强履责事项日常监管，落实涉责事项投诉处置，进一步提升城管执法部门在推进“蓝天保卫战、碧水保卫战、净土保卫战”中的履责效能。</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一是以治理建筑垃圾及扬尘、油烟污染为抓手，打好“蓝天保卫战”。建筑垃圾治理方面，聚焦辖区出土工地周边、建筑垃圾运输车辆出境必经各道口等重点区域，定期组织对建筑垃圾运输车辆的道口设卡执法检查及整治，同时落实对建筑垃圾违法行为的全链条溯源执法；加强与公安部门联合执法，厘清违法建筑垃圾运输车辆移送案件派单的有效接处流程，重点查处无证运输、未密闭覆盖运输、运输泄露遗撒、擅自倾倒抛撒堆放处置建筑垃圾等违法行为；通过信息化、智能化监管，推行实施对渣土运输车辆的“非现场”执法，提升查处执法效能。扬尘污染防控方面，聚焦建筑工地、装饰装修工程等重点场所，分阶段分步骤开展专项整治行动，重点查处在建工地在扬尘污染防控中存在的八类突出问题；与区生态环境局建立管执联动机制，城管执法部门根据管理部门推送的超出扬尘标准情况，作进一步执法跟进。油烟扰民执法方面，我区通过两轮次全覆盖执法检查及一轮次重点点位整治，落实对居民区、商业街区周边餐饮单位未按规定安装油烟净化设施、未保持设施正常运行的行为、设摊经营夜排档及露天烧烤的扰民行为、经营性炉灶排放明显可见黑烟等三类违法行为的专项执法，并针对市局下发《长宁区油烟扰民重点点位整治清单》涉及我区重点督办点位11处，实施销项式整治。今年以来，共查处建筑垃圾案件139起，罚款17.95万元；响应处置管理部门推送扬尘超标工地26起，依法查处在建工地文明施工类违法行为12件，罚款8.2万元；查处油烟扰民案件7起，罚款1万元；接收建筑垃圾交警联合执法工单21起，执法办案17件，罚款4.6万元。</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二是以推进河道治理提升滨水空间环境质量为重心，打好“碧水保卫战”。为切实贯彻水环境保护，根据市局《关于加强“一江一河”滨水公共空间城管综合执法工作实施意见》，我区重点落实苏州河沿线、沿岸区域环境的日常管理，对明显违反限制性行为与禁止性行为的违法行为加大执法查处力度，并进一步健全完善日常勤务巡查管控、“一网统管”派单处置、沿线单位责任共治等日常管理机制。今年以来，共查处涉及“一江一河”滨水公共空间违法行为48起，罚款3.07万元。</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三是以执法促生活垃圾分类效能为举措，打好“净土保卫战”。按照我区垃圾分类“持续领先，走在前列”总要求，恪守垃圾分类城管执法职责，严格对照全市第三方测评及考核要求，聚焦生活垃圾投放、收集、运输过程中的薄弱环节，持续加强对住宅小区内个人垃圾混投行为的执法查处力度，统筹做好执法检查、执法办案、执法宣传工作。今年以来，共开展生活垃圾执法检查7439次，检查居住区2260个，检查各类投放单位6900余次，检查收运单位162次，教育劝阻3850余人次，责令整改3493次，查处生活垃圾分类案件1327起，行政处罚9.77万元。</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四是以市环保督察反馈意见为导向，打好问题整改“攻坚战”。针对市环保督察反馈意见，按照《关于长宁区贯彻落实上海市生态环境保护例行督察反馈意见整改方案的报告》及《问题整改措施清单》职责分工，我局共涉及6大项11小项整改任务。其中，牵头部门职责1项，配合部门职责10项。针对11项任务，我局对标对表落实整改措施，主抓牵头项，齐抓配合项。通过采用“线上+线下”模式，开展业务培训、法制培训，会同区生态环境局共同开展联合培训等方式，落实精细化管理，推动综合执法人员业务知识能力任务整改；完善与区生态环境局、区建管委等管理部门的联合监管机制，积极配合牵头单位做好涉责配合整改工作，确保涉责整改事项全部落实到位。</w:t>
      </w:r>
    </w:p>
    <w:p>
      <w:pPr>
        <w:keepNext w:val="0"/>
        <w:keepLines w:val="0"/>
        <w:pageBreakBefore w:val="0"/>
        <w:widowControl w:val="0"/>
        <w:numPr>
          <w:ilvl w:val="0"/>
          <w:numId w:val="1"/>
        </w:numPr>
        <w:kinsoku/>
        <w:wordWrap/>
        <w:topLinePunct w:val="0"/>
        <w:autoSpaceDN/>
        <w:bidi w:val="0"/>
        <w:adjustRightInd/>
        <w:snapToGrid w:val="0"/>
        <w:spacing w:line="560" w:lineRule="exact"/>
        <w:ind w:left="0" w:leftChars="0"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践行“人民城市”理念，坚持执法服务为民</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落实区委区政府关于提升12345市民服务热线水平重要部署以及本区12345市民服务热线“削峰”行动大会战要求，多措并举、全力推动解决群众“急难愁盼”问题。</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一是提升“城管社区工作室”运行效能，夯实城管执法社区工作基础。依托“城管社区工作室”实体平台，集中开展“城管进社区”活动，贯彻落实“三个1”行动，局班子带队，全系统全覆盖走访全区189个居委，通过开展1次普法宣传、参加1次社区联席会议、落实1次集中面对面征集居民意见建议，主动倾听市民呼声，协调解决一批问题，处置化解一批投诉。推广“城管社区工作室二维码”应用，线上受理居民投诉，督促物业“扫码”履责，收集人民建议，今年已通过城管工作室线下征集人民建议136条，通过“城管社区工作室二维码”线上收集人民意见建议21条。推动城管执法社区工作室规范化建设，甄选仙霞虹旭居委会、虹桥荣华第三居委会城管执法社区工作室参与全市城管执法系统“全市第五批50佳城管执法社区工作室”评选，并总结推广社区工作经验。</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二是创新住宅小区装修监管模式，推进热线诉件源头减量。立足热线诉件“源头减量”，我局牵头制定了《关于本区住宅小区装修活动物业全过程监管试点工作方案》，探索本区住宅小区装修活动物业全过程监管试点，并会同区房管局、新长宁集团共同部署推进，通过建立住宅小区居民装修活动管执联动闭环管理机制，高效处置小区居民装修违法行为热线诉件，有效遏制小区居民装修违法行为发生，从源头降低我区住宅小区市民投诉量。</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三是全面提升市容环境品质，提高群众满意度。聚焦第六届进博会执法保障，深入贯彻习近平总书记“办出水平、办出成效、越办越好”的重要指示精神，优化进博保障方案，持续开展市容环境执法整治，大力度推进街面环境、建筑工地、建筑垃圾、城市安全隐患、空气污染、河道污染等集中整治。按照保障范围、保障等级，重点部署落实做好“2个核心保障区、4个景观区域、16条主要道路”的街面管控，同时严格落实应急力量安排与应急响应准备，全面推进落实进博会核心保障区域定人、定时、定点、定岗、定责“五定”工作机制，全力为进博会顺利召开保驾护航。</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三</w:t>
      </w:r>
      <w:r>
        <w:rPr>
          <w:rFonts w:hint="eastAsia" w:ascii="楷体" w:hAnsi="楷体" w:eastAsia="楷体" w:cs="楷体"/>
          <w:sz w:val="32"/>
          <w:szCs w:val="32"/>
          <w:lang w:eastAsia="zh-CN"/>
        </w:rPr>
        <w:t>）</w:t>
      </w:r>
      <w:r>
        <w:rPr>
          <w:rFonts w:hint="eastAsia" w:ascii="楷体" w:hAnsi="楷体" w:eastAsia="楷体" w:cs="楷体"/>
          <w:sz w:val="32"/>
          <w:szCs w:val="32"/>
        </w:rPr>
        <w:t>深化转型抓机遇，探索执法模式创新出彩出新</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顺应城管执法体制改革及城市管理精细化、数字化转型发展趋势，进一步创新理念、创新模式、创新手段，实现执法方式流程的优化再造，提升执法监管效能。</w:t>
      </w:r>
    </w:p>
    <w:p>
      <w:pPr>
        <w:keepNext w:val="0"/>
        <w:keepLines w:val="0"/>
        <w:pageBreakBefore w:val="0"/>
        <w:widowControl w:val="0"/>
        <w:numPr>
          <w:ilvl w:val="0"/>
          <w:numId w:val="2"/>
        </w:numPr>
        <w:kinsoku/>
        <w:wordWrap/>
        <w:topLinePunct w:val="0"/>
        <w:autoSpaceDN/>
        <w:bidi w:val="0"/>
        <w:adjustRightInd/>
        <w:snapToGrid w:val="0"/>
        <w:spacing w:line="560" w:lineRule="exact"/>
        <w:ind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推进数字治理，提升执法效能。持续深化“非现场执法”。在渣土运输违法行为“非现执法”取得成效的基础上，今年，我局进一步拓展在街面环境治理领域的应用，扩大“非现场执法”覆盖领域和区域，建立非现场执法算法仓，并对占道洗车、跨门经营、占道堆物、流动设摊等街面易发、高发的违法行为进一步推行“非现执法”，强化证据锁定、违法对象信息确认等功能模块，增加问题高发易发点位、区域分析等功能，打造“城管AI非现执法”可视化平台。截至11月，我局通过“非现”执法34起，处罚金额3.94万元。强化智能发现，推进数字化转型与执法实效监督工作深度融合。升级车载5G抓拍设备，提高对跨门经营、占道设摊、占道堆物、“五乱”、户外广告设施等街面显见违法问题的自动识别抓拍率和准确率，并且能够精准标记街面违法问题，实现自动派单，从而提升执法实效监督的针对性和有效性。</w:t>
      </w:r>
    </w:p>
    <w:p>
      <w:pPr>
        <w:keepNext w:val="0"/>
        <w:keepLines w:val="0"/>
        <w:pageBreakBefore w:val="0"/>
        <w:widowControl w:val="0"/>
        <w:numPr>
          <w:ilvl w:val="0"/>
          <w:numId w:val="2"/>
        </w:numPr>
        <w:kinsoku/>
        <w:wordWrap/>
        <w:topLinePunct w:val="0"/>
        <w:autoSpaceDN/>
        <w:bidi w:val="0"/>
        <w:adjustRightInd/>
        <w:snapToGrid w:val="0"/>
        <w:spacing w:line="560" w:lineRule="exact"/>
        <w:ind w:left="0" w:leftChars="0"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深化信用监管，优化营商环境。继续深化沿街商户、建筑工地分级分类监管的应用，开展沿街商户分级分类执法检查29842次，落实沿街商铺生活垃圾分类检查2183次，建筑工地分级分类567次；在开展检查过程中，实现问题发现，落实执法跟进，通过分级分类落实对街面环境违法行为查处180起，对建筑工地违法行为执法查处6起。同时，进一步拓展分级分类监管覆盖面，通过对辖区历史保护建筑基本情况的排摸梳理、比对核查，完善监管对象基础数据库，将历保建筑的日常监管一并纳入分级分类监管，截至目前通过分级分类执法检查历保建筑42170次。积极应用执法对象监管系统，对餐厨垃圾、废弃油脂、生活垃圾、房地产经纪机构等市场主体开展“双随机、一公开”抽查，共随机抽查餐饮单位253家，餐厨垃圾废弃油脂收运单位30家，生活垃圾收运单位22家，房地产经纪机构36家，对随机抽查中发现违法行为立案查处18起。</w:t>
      </w:r>
    </w:p>
    <w:p>
      <w:pPr>
        <w:keepNext w:val="0"/>
        <w:keepLines w:val="0"/>
        <w:pageBreakBefore w:val="0"/>
        <w:widowControl w:val="0"/>
        <w:numPr>
          <w:ilvl w:val="0"/>
          <w:numId w:val="2"/>
        </w:numPr>
        <w:kinsoku/>
        <w:wordWrap/>
        <w:topLinePunct w:val="0"/>
        <w:autoSpaceDN/>
        <w:bidi w:val="0"/>
        <w:adjustRightInd/>
        <w:snapToGrid w:val="0"/>
        <w:spacing w:line="560" w:lineRule="exact"/>
        <w:ind w:left="0" w:leftChars="0" w:firstLine="640" w:firstLineChars="200"/>
        <w:textAlignment w:val="auto"/>
        <w:rPr>
          <w:rFonts w:hint="eastAsia" w:ascii="宋体" w:hAnsi="宋体" w:eastAsia="仿宋_GB2312" w:cs="Times New Roman"/>
          <w:sz w:val="32"/>
          <w:szCs w:val="32"/>
        </w:rPr>
      </w:pPr>
      <w:r>
        <w:rPr>
          <w:rFonts w:hint="eastAsia" w:ascii="宋体" w:hAnsi="宋体" w:eastAsia="仿宋_GB2312" w:cs="Times New Roman"/>
          <w:sz w:val="32"/>
          <w:szCs w:val="32"/>
        </w:rPr>
        <w:t>推动源头治理，强化管执联动。坚持系统治理理念，聚焦重点领域执法协作与管执联动，主动与本区各行业主管部门开展工作对接，进一步健全执法协作与管执联动机制。我局与房管部门就推进住宅物业管理、历史保护建筑日常分级分类执法检查、房地产市场双随机联合检查、数字监管场景应用、联合培训等事项方面建立了协作机制；结合新调整颁布的《上海市市容环境卫生管理条例》，与绿化市容部门就完善双向沟通、执法协作、联合惩戒、联合培训等工作内容完善了联动机制；与生态环境部门，就进一步加强执法联动、加强法治宣传、开展线上管执联动、健全工作机制等方面达成合作共识；进一步与建管委对接了对共享单车的联合监管；参与市卫健委与市城管执法局召开的现制现售饮用水现场会，并就如何加强管执联动进行经验交流；与发改委在石油天然气管道检查方面形成了联合检查机制。推广“执法建议书”应用，继续推行向相关监管部门制发《执法建议书》，有效推动管理部门有效履职，加强执法结果在行政许可审批、工程项目招标中的应用，今年累计制发执法建议书11份。</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黑体" w:hAnsi="黑体" w:eastAsia="黑体" w:cs="Times New Roman"/>
          <w:sz w:val="32"/>
          <w:szCs w:val="32"/>
        </w:rPr>
      </w:pP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二、推进法治政府建设存在的不足和原因</w:t>
      </w:r>
    </w:p>
    <w:p>
      <w:pPr>
        <w:keepNext w:val="0"/>
        <w:keepLines w:val="0"/>
        <w:pageBreakBefore w:val="0"/>
        <w:widowControl w:val="0"/>
        <w:kinsoku/>
        <w:wordWrap/>
        <w:topLinePunct w:val="0"/>
        <w:autoSpaceDN/>
        <w:bidi w:val="0"/>
        <w:adjustRightInd/>
        <w:snapToGrid w:val="0"/>
        <w:spacing w:line="560" w:lineRule="exact"/>
        <w:ind w:firstLine="643" w:firstLineChars="200"/>
        <w:textAlignment w:val="auto"/>
        <w:rPr>
          <w:rFonts w:hint="eastAsia" w:ascii="仿宋" w:hAnsi="仿宋" w:eastAsia="楷体" w:cs="Times New Roman"/>
          <w:sz w:val="32"/>
          <w:szCs w:val="32"/>
          <w:lang w:eastAsia="zh-CN"/>
        </w:rPr>
      </w:pPr>
      <w:r>
        <w:rPr>
          <w:rFonts w:hint="eastAsia" w:ascii="楷体" w:hAnsi="楷体" w:eastAsia="楷体" w:cs="Times New Roman"/>
          <w:b/>
          <w:sz w:val="32"/>
          <w:szCs w:val="32"/>
        </w:rPr>
        <w:t>不足之处：依法行政能力</w:t>
      </w:r>
      <w:r>
        <w:rPr>
          <w:rFonts w:hint="eastAsia" w:ascii="楷体" w:hAnsi="楷体" w:eastAsia="楷体" w:cs="Times New Roman"/>
          <w:b/>
          <w:sz w:val="32"/>
          <w:szCs w:val="32"/>
          <w:lang w:eastAsia="zh-CN"/>
        </w:rPr>
        <w:t>和依法回复投诉举报能力水平有待进一步加强。</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仿宋_GB2312" w:cs="Times New Roman"/>
          <w:sz w:val="32"/>
          <w:szCs w:val="32"/>
          <w:lang w:eastAsia="zh-CN"/>
        </w:rPr>
        <w:t>随着体制改革的不断推动，越来越多的执法事项划转至街镇综合执法部门，其中也不乏专业性较强的个别领域执法。事项数量和领域专业</w:t>
      </w:r>
      <w:bookmarkStart w:id="0" w:name="_GoBack"/>
      <w:r>
        <w:rPr>
          <w:rFonts w:hint="eastAsia" w:ascii="宋体" w:hAnsi="宋体" w:eastAsia="仿宋_GB2312" w:cs="Times New Roman"/>
          <w:sz w:val="32"/>
          <w:szCs w:val="32"/>
          <w:lang w:eastAsia="zh-CN"/>
        </w:rPr>
        <w:t>性</w:t>
      </w:r>
      <w:bookmarkEnd w:id="0"/>
      <w:r>
        <w:rPr>
          <w:rFonts w:hint="eastAsia" w:ascii="宋体" w:hAnsi="宋体" w:eastAsia="仿宋_GB2312" w:cs="Times New Roman"/>
          <w:sz w:val="32"/>
          <w:szCs w:val="32"/>
          <w:lang w:eastAsia="zh-CN"/>
        </w:rPr>
        <w:t>的双重压力，导致部分执法人员依法行政能力不足的劣势逐渐显现，特别在面对新增执法事项时，缺乏执法自信。</w:t>
      </w:r>
      <w:r>
        <w:rPr>
          <w:rFonts w:hint="eastAsia" w:ascii="仿宋_GB2312" w:hAnsi="仿宋_GB2312" w:eastAsia="仿宋_GB2312" w:cs="仿宋_GB2312"/>
          <w:sz w:val="32"/>
          <w:szCs w:val="32"/>
          <w:lang w:eastAsia="zh-CN"/>
        </w:rPr>
        <w:t>另外，少数执法人员面对投诉举报依法回复的能力有待加强</w:t>
      </w:r>
      <w:r>
        <w:rPr>
          <w:rFonts w:hint="eastAsia" w:ascii="仿宋_GB2312" w:hAnsi="仿宋_GB2312" w:eastAsia="仿宋_GB2312" w:cs="仿宋_GB2312"/>
          <w:sz w:val="32"/>
          <w:szCs w:val="32"/>
        </w:rPr>
        <w:t>，证据保存等意识</w:t>
      </w:r>
      <w:r>
        <w:rPr>
          <w:rFonts w:hint="eastAsia" w:ascii="仿宋_GB2312" w:hAnsi="仿宋_GB2312" w:eastAsia="仿宋_GB2312" w:cs="仿宋_GB2312"/>
          <w:sz w:val="32"/>
          <w:szCs w:val="32"/>
          <w:lang w:eastAsia="zh-CN"/>
        </w:rPr>
        <w:t>较为薄弱，特别是通过电话进行的调查取证，录音留档存在不完整甚至未留存的情况，证据链条严密度不够</w:t>
      </w:r>
      <w:r>
        <w:rPr>
          <w:rFonts w:hint="eastAsia" w:ascii="仿宋_GB2312" w:hAnsi="仿宋_GB2312" w:eastAsia="仿宋_GB2312" w:cs="仿宋_GB2312"/>
          <w:sz w:val="32"/>
          <w:szCs w:val="32"/>
        </w:rPr>
        <w:t>。</w:t>
      </w:r>
    </w:p>
    <w:p>
      <w:pPr>
        <w:keepNext w:val="0"/>
        <w:keepLines w:val="0"/>
        <w:pageBreakBefore w:val="0"/>
        <w:widowControl w:val="0"/>
        <w:kinsoku/>
        <w:wordWrap/>
        <w:topLinePunct w:val="0"/>
        <w:autoSpaceDN/>
        <w:bidi w:val="0"/>
        <w:adjustRightInd/>
        <w:snapToGrid w:val="0"/>
        <w:spacing w:line="560" w:lineRule="exact"/>
        <w:ind w:firstLine="643" w:firstLineChars="200"/>
        <w:textAlignment w:val="auto"/>
        <w:rPr>
          <w:rFonts w:hint="eastAsia" w:ascii="楷体" w:hAnsi="楷体" w:eastAsia="楷体" w:cs="Times New Roman"/>
          <w:b/>
          <w:sz w:val="32"/>
          <w:szCs w:val="32"/>
          <w:lang w:eastAsia="zh-CN"/>
        </w:rPr>
      </w:pPr>
      <w:r>
        <w:rPr>
          <w:rFonts w:hint="eastAsia" w:ascii="楷体" w:hAnsi="楷体" w:eastAsia="楷体" w:cs="Times New Roman"/>
          <w:b/>
          <w:sz w:val="32"/>
          <w:szCs w:val="32"/>
        </w:rPr>
        <w:t>查找原因：</w:t>
      </w:r>
      <w:r>
        <w:rPr>
          <w:rFonts w:hint="eastAsia" w:ascii="楷体" w:hAnsi="楷体" w:eastAsia="楷体" w:cs="Times New Roman"/>
          <w:b/>
          <w:sz w:val="32"/>
          <w:szCs w:val="32"/>
          <w:lang w:eastAsia="zh-CN"/>
        </w:rPr>
        <w:t>缺乏专业知识支撑，存在路径依赖情况</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仿宋" w:hAnsi="仿宋" w:eastAsia="仿宋" w:cs="Times New Roman"/>
          <w:color w:val="FF0000"/>
          <w:sz w:val="32"/>
          <w:szCs w:val="32"/>
        </w:rPr>
      </w:pPr>
      <w:r>
        <w:rPr>
          <w:rFonts w:hint="eastAsia" w:ascii="仿宋" w:hAnsi="仿宋" w:eastAsia="仿宋" w:cs="Times New Roman"/>
          <w:sz w:val="32"/>
          <w:szCs w:val="32"/>
          <w:lang w:eastAsia="zh-CN"/>
        </w:rPr>
        <w:t>体制改革后，街镇综合执法队伍的执法权限进一步扩大，部分专业领域新增执法事项的出现，使得原本就存在“本领恐慌”的现象更加明显。缺乏专业知识的支撑，以及对新生事物的自然性回避，导致执法领域拓展的迟缓。同时，案件审核主体由原先区局法制机构变更为各综合执法队伍自身审核，突然失去原先案件质量保障的路径依赖，而综合执法队伍尚未健全法制审核人员专职专人制度和能力水平建设，间接将案件审核流程形式化，导致案件质量整体呈下降趋势。</w:t>
      </w:r>
    </w:p>
    <w:p>
      <w:pPr>
        <w:keepNext w:val="0"/>
        <w:keepLines w:val="0"/>
        <w:pageBreakBefore w:val="0"/>
        <w:widowControl w:val="0"/>
        <w:kinsoku/>
        <w:wordWrap/>
        <w:topLinePunct w:val="0"/>
        <w:autoSpaceDN/>
        <w:bidi w:val="0"/>
        <w:adjustRightInd/>
        <w:snapToGrid w:val="0"/>
        <w:spacing w:line="560" w:lineRule="exact"/>
        <w:ind w:firstLine="643" w:firstLineChars="200"/>
        <w:textAlignment w:val="auto"/>
        <w:rPr>
          <w:rFonts w:hint="eastAsia" w:ascii="楷体" w:hAnsi="楷体" w:eastAsia="楷体" w:cs="Times New Roman"/>
          <w:b/>
          <w:sz w:val="32"/>
          <w:szCs w:val="32"/>
          <w:lang w:eastAsia="zh-CN"/>
        </w:rPr>
      </w:pPr>
      <w:r>
        <w:rPr>
          <w:rFonts w:hint="eastAsia" w:ascii="楷体" w:hAnsi="楷体" w:eastAsia="楷体" w:cs="Times New Roman"/>
          <w:b/>
          <w:sz w:val="32"/>
          <w:szCs w:val="32"/>
          <w:lang w:eastAsia="zh-CN"/>
        </w:rPr>
        <w:t>整改措施：以点及面，以骨干带动队伍共同促进整体能力提升</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仿宋" w:hAnsi="仿宋" w:eastAsia="仿宋" w:cs="Times New Roman"/>
          <w:color w:val="FF0000"/>
          <w:sz w:val="32"/>
          <w:szCs w:val="32"/>
        </w:rPr>
      </w:pPr>
      <w:r>
        <w:rPr>
          <w:rFonts w:hint="eastAsia" w:ascii="仿宋" w:hAnsi="仿宋" w:eastAsia="仿宋" w:cs="Times New Roman"/>
          <w:sz w:val="32"/>
          <w:szCs w:val="32"/>
        </w:rPr>
        <w:t>通过</w:t>
      </w:r>
      <w:r>
        <w:rPr>
          <w:rFonts w:hint="eastAsia" w:ascii="仿宋" w:hAnsi="仿宋" w:eastAsia="仿宋" w:cs="Times New Roman"/>
          <w:sz w:val="32"/>
          <w:szCs w:val="32"/>
          <w:lang w:eastAsia="zh-CN"/>
        </w:rPr>
        <w:t>“点对点、案对案”实地指导、“面对面、手把手”专业带教等方式，以“强骨干、立队伍”为目标</w:t>
      </w:r>
      <w:r>
        <w:rPr>
          <w:rFonts w:hint="eastAsia" w:ascii="仿宋" w:hAnsi="仿宋" w:eastAsia="仿宋" w:cs="Times New Roman"/>
          <w:sz w:val="32"/>
          <w:szCs w:val="32"/>
        </w:rPr>
        <w:t>，</w:t>
      </w:r>
      <w:r>
        <w:rPr>
          <w:rFonts w:hint="eastAsia" w:ascii="仿宋_GB2312" w:hAnsi="仿宋_GB2312" w:eastAsia="仿宋_GB2312" w:cs="仿宋_GB2312"/>
          <w:kern w:val="2"/>
          <w:sz w:val="32"/>
          <w:szCs w:val="32"/>
          <w:lang w:val="en-US" w:eastAsia="zh-CN" w:bidi="ar-SA"/>
        </w:rPr>
        <w:t>通过提升法制骨干业务能力水平，带动队伍执法能力的整体提升；在保证区级直属中队案件高标准审查强度的基础上，通过例会“每月一讲”的方式，逐步提升法制员队伍的案件审查能力水平，加速培养一支专业化法制审核队伍，满足街镇综合执法需求；依托区司法局的平台，与各司法所建立季度例会机制，不断强化基层司法所对街道综合执法案件的审核把关力度；严格要求信访处理各环节的规范运作，督促队员做好电话录音等证据保存，常态化开展信访投诉工作“回头看”，落实问题自查自纠，推进积案查办与群众矛盾化解。</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hint="eastAsia" w:ascii="黑体" w:hAnsi="黑体" w:eastAsia="黑体" w:cs="Times New Roman"/>
          <w:sz w:val="32"/>
          <w:szCs w:val="32"/>
        </w:rPr>
      </w:pP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三</w:t>
      </w:r>
      <w:r>
        <w:rPr>
          <w:rFonts w:hint="eastAsia" w:ascii="黑体" w:hAnsi="黑体" w:eastAsia="黑体"/>
          <w:sz w:val="32"/>
          <w:szCs w:val="32"/>
        </w:rPr>
        <w:t>、</w:t>
      </w:r>
      <w:r>
        <w:rPr>
          <w:rFonts w:hint="eastAsia" w:ascii="黑体" w:hAnsi="黑体" w:eastAsia="黑体" w:cs="Times New Roman"/>
          <w:sz w:val="32"/>
          <w:szCs w:val="32"/>
        </w:rPr>
        <w:t>本单位主要负责人202</w:t>
      </w:r>
      <w:r>
        <w:rPr>
          <w:rFonts w:hint="eastAsia" w:ascii="黑体" w:hAnsi="黑体" w:eastAsia="黑体" w:cs="Times New Roman"/>
          <w:sz w:val="32"/>
          <w:szCs w:val="32"/>
          <w:lang w:val="en-US" w:eastAsia="zh-CN"/>
        </w:rPr>
        <w:t>3</w:t>
      </w:r>
      <w:r>
        <w:rPr>
          <w:rFonts w:hint="eastAsia" w:ascii="黑体" w:hAnsi="黑体" w:eastAsia="黑体" w:cs="Times New Roman"/>
          <w:sz w:val="32"/>
          <w:szCs w:val="32"/>
        </w:rPr>
        <w:t>年度履行推进法治政府建设第一责任人职责，加强法治政府建设的有关情况</w:t>
      </w:r>
    </w:p>
    <w:p>
      <w:pPr>
        <w:keepNext w:val="0"/>
        <w:keepLines w:val="0"/>
        <w:pageBreakBefore w:val="0"/>
        <w:widowControl w:val="0"/>
        <w:kinsoku/>
        <w:wordWrap/>
        <w:topLinePunct w:val="0"/>
        <w:autoSpaceDN/>
        <w:bidi w:val="0"/>
        <w:adjustRightInd/>
        <w:snapToGrid w:val="0"/>
        <w:spacing w:line="56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rPr>
        <w:t>深入学习贯彻二十大精神和习近平法治思想。</w:t>
      </w:r>
      <w:r>
        <w:rPr>
          <w:rFonts w:hint="eastAsia" w:ascii="仿宋_GB2312" w:hAnsi="仿宋_GB2312" w:eastAsia="仿宋_GB2312" w:cs="仿宋_GB2312"/>
          <w:sz w:val="32"/>
          <w:szCs w:val="32"/>
        </w:rPr>
        <w:t>坚持把习近平法治思想作为中心组学习的重要内容和全系统普法的首要任务。领导班子带头学法释法用法，局党组中心组开展以宪法、民法典和党内法规为主题的专题学习18次，其中专题学习习近平法治思想2次，</w:t>
      </w:r>
      <w:r>
        <w:rPr>
          <w:rFonts w:hint="eastAsia" w:ascii="仿宋_GB2312" w:hAnsi="仿宋_GB2312" w:eastAsia="仿宋_GB2312" w:cs="仿宋_GB2312"/>
          <w:sz w:val="32"/>
          <w:szCs w:val="32"/>
          <w:lang w:eastAsia="zh-CN"/>
        </w:rPr>
        <w:t>局党组书记、局长张徐</w:t>
      </w:r>
      <w:r>
        <w:rPr>
          <w:rFonts w:hint="eastAsia" w:ascii="仿宋_GB2312" w:hAnsi="仿宋_GB2312" w:eastAsia="仿宋_GB2312" w:cs="仿宋_GB2312"/>
          <w:sz w:val="32"/>
          <w:szCs w:val="32"/>
        </w:rPr>
        <w:t>带头讲法治党课，宣讲党的二十大关于坚持全面依法治国，推进法治中国建设战略部署，全面推进严格规范公正文明执法。贯彻落实法治建设“三规划一纲要”要求，认真开展本市法治建设“三个规划”自查工作，接受区委依法治区办法治实地督察，成立由</w:t>
      </w:r>
      <w:r>
        <w:rPr>
          <w:rFonts w:hint="eastAsia" w:ascii="仿宋_GB2312" w:hAnsi="仿宋_GB2312" w:eastAsia="仿宋_GB2312" w:cs="仿宋_GB2312"/>
          <w:sz w:val="32"/>
          <w:szCs w:val="32"/>
          <w:lang w:eastAsia="zh-CN"/>
        </w:rPr>
        <w:t>张徐</w:t>
      </w:r>
      <w:r>
        <w:rPr>
          <w:rFonts w:hint="eastAsia" w:ascii="仿宋_GB2312" w:hAnsi="仿宋_GB2312" w:eastAsia="仿宋_GB2312" w:cs="仿宋_GB2312"/>
          <w:sz w:val="32"/>
          <w:szCs w:val="32"/>
        </w:rPr>
        <w:t>担任组长的督察整改专项工作组，带领局党组班子成员和相关科室对督察组反馈的“问题清单”和“工作建议”，结合前期自查发现问题，逐一对照分析研究，通过强化分级分类培训、提升法制指导监督以及创新普法宣传形式内容等措施，确保督察反馈五个问题落实整改。</w:t>
      </w:r>
      <w:r>
        <w:rPr>
          <w:rFonts w:hint="eastAsia" w:ascii="仿宋_GB2312" w:hAnsi="仿宋_GB2312" w:eastAsia="仿宋_GB2312" w:cs="仿宋_GB2312"/>
          <w:bCs/>
          <w:sz w:val="32"/>
          <w:szCs w:val="32"/>
        </w:rPr>
        <w:t xml:space="preserve">  </w:t>
      </w:r>
    </w:p>
    <w:p>
      <w:pPr>
        <w:keepNext w:val="0"/>
        <w:keepLines w:val="0"/>
        <w:pageBreakBefore w:val="0"/>
        <w:widowControl w:val="0"/>
        <w:kinsoku/>
        <w:wordWrap/>
        <w:overflowPunct w:val="0"/>
        <w:topLinePunct w:val="0"/>
        <w:autoSpaceDE w:val="0"/>
        <w:autoSpaceDN/>
        <w:bidi w:val="0"/>
        <w:adjustRightInd/>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val="0"/>
          <w:bCs w:val="0"/>
          <w:sz w:val="32"/>
          <w:szCs w:val="32"/>
        </w:rPr>
        <w:t>全面落实</w:t>
      </w:r>
      <w:r>
        <w:rPr>
          <w:rFonts w:hint="eastAsia" w:ascii="仿宋_GB2312" w:hAnsi="仿宋_GB2312" w:eastAsia="仿宋_GB2312" w:cs="仿宋_GB2312"/>
          <w:b w:val="0"/>
          <w:bCs w:val="0"/>
          <w:sz w:val="32"/>
          <w:szCs w:val="32"/>
          <w:lang w:eastAsia="zh-CN"/>
        </w:rPr>
        <w:t>行政执法“三项</w:t>
      </w:r>
      <w:r>
        <w:rPr>
          <w:rFonts w:hint="eastAsia" w:ascii="仿宋_GB2312" w:hAnsi="仿宋_GB2312" w:eastAsia="仿宋_GB2312" w:cs="仿宋_GB2312"/>
          <w:b w:val="0"/>
          <w:bCs w:val="0"/>
          <w:sz w:val="32"/>
          <w:szCs w:val="32"/>
        </w:rPr>
        <w:t>制度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，推进严格规范公正文明执法。</w:t>
      </w:r>
      <w:r>
        <w:rPr>
          <w:rFonts w:hint="eastAsia" w:ascii="仿宋_GB2312" w:hAnsi="仿宋_GB2312" w:eastAsia="仿宋_GB2312" w:cs="仿宋_GB2312"/>
          <w:sz w:val="32"/>
          <w:szCs w:val="32"/>
        </w:rPr>
        <w:t>本年度共计公示执法决定1924件；加强全过程记录装备配备，完善后台管理系统，制定执法记录仪使用规范，共进行全过程视频关联案件1700件；规范重大执法决定法制审核流程，加大对街镇中队重大法核案件的指导监督，全区共开展重大法核案60起。</w:t>
      </w:r>
    </w:p>
    <w:p>
      <w:pPr>
        <w:pStyle w:val="6"/>
        <w:keepNext w:val="0"/>
        <w:keepLines w:val="0"/>
        <w:pageBreakBefore w:val="0"/>
        <w:widowControl w:val="0"/>
        <w:kinsoku/>
        <w:wordWrap/>
        <w:topLinePunct w:val="0"/>
        <w:autoSpaceDN/>
        <w:bidi w:val="0"/>
        <w:adjustRightInd/>
        <w:snapToGrid w:val="0"/>
        <w:spacing w:line="560" w:lineRule="exact"/>
        <w:ind w:firstLine="64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自觉维护司法权威。</w:t>
      </w:r>
      <w:r>
        <w:rPr>
          <w:rFonts w:hint="eastAsia" w:ascii="仿宋_GB2312" w:hAnsi="仿宋_GB2312" w:eastAsia="仿宋_GB2312" w:cs="仿宋_GB2312"/>
          <w:sz w:val="32"/>
          <w:szCs w:val="32"/>
        </w:rPr>
        <w:t>全年收到检察建议2件、复议建议1件，均按时办结回复,未收到行政诉讼和行政复议案件，按照落实行政诉讼“三合一”活动要求，分别组织现场旁听虹桥街道办事处涉及城管执法领域行政诉讼1起、线上旁听杨浦区生态环境局行政诉讼案件1起，并邀请上铁法院法官和区复议局专业人士对案件诉讼情况进行分析点评。主动走访上铁法院行政庭，与庭长进行沟通交流，推进行政执法与司法的良性互动。建立单位法律顾问年终考核制度，充分发挥法律顾问在法治政府建设中的作用。鼓励基层执法人员参加法律职业资格考试，本区城管执法系统共有10名在岗公职律师。</w:t>
      </w:r>
    </w:p>
    <w:p>
      <w:pPr>
        <w:pStyle w:val="6"/>
        <w:keepNext w:val="0"/>
        <w:keepLines w:val="0"/>
        <w:pageBreakBefore w:val="0"/>
        <w:widowControl w:val="0"/>
        <w:kinsoku/>
        <w:wordWrap/>
        <w:topLinePunct w:val="0"/>
        <w:autoSpaceDN/>
        <w:bidi w:val="0"/>
        <w:adjustRightInd/>
        <w:snapToGrid w:val="0"/>
        <w:spacing w:line="560" w:lineRule="exact"/>
        <w:ind w:firstLine="64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kern w:val="2"/>
          <w:sz w:val="32"/>
          <w:szCs w:val="32"/>
          <w:lang w:val="en-US" w:eastAsia="zh-CN" w:bidi="ar-SA"/>
        </w:rPr>
        <w:t>四是</w:t>
      </w:r>
      <w:r>
        <w:rPr>
          <w:rFonts w:hint="eastAsia" w:ascii="仿宋_GB2312" w:hAnsi="仿宋_GB2312" w:eastAsia="仿宋_GB2312" w:cs="仿宋_GB2312"/>
          <w:b w:val="0"/>
          <w:bCs w:val="0"/>
          <w:kern w:val="2"/>
          <w:sz w:val="32"/>
          <w:szCs w:val="32"/>
          <w:lang w:val="en-US" w:eastAsia="zh-CN" w:bidi="ar-SA"/>
        </w:rPr>
        <w:t>全面落实“谁执法谁普法”普法责任制。</w:t>
      </w:r>
      <w:r>
        <w:rPr>
          <w:rFonts w:hint="eastAsia" w:ascii="仿宋_GB2312" w:hAnsi="仿宋_GB2312" w:eastAsia="仿宋_GB2312" w:cs="仿宋_GB2312"/>
          <w:sz w:val="32"/>
          <w:szCs w:val="32"/>
        </w:rPr>
        <w:t>在官方网站及时发布年度普法责任清单，制定领导干部应知应会法律法规和党内法规清单。深化城管普法宣传活动，携手区建管委、区绿化市容局等管理部门，结合“3.12植树节”、“4.15全民国家安全教育日”、“民法典宣传月”、“12.4宪法宣传周”等节点，开展各类专题普法宣传。全年共设计制作普法宣传片5部，发布“以案释法”案例30余篇，制作普法宣传折页13版1万余份，发放普法宣传品5000余份</w:t>
      </w:r>
      <w:r>
        <w:rPr>
          <w:rFonts w:hint="eastAsia" w:ascii="仿宋_GB2312" w:hAnsi="仿宋_GB2312" w:eastAsia="仿宋_GB2312" w:cs="仿宋_GB2312"/>
          <w:bCs/>
          <w:sz w:val="32"/>
          <w:szCs w:val="32"/>
        </w:rPr>
        <w:t>。</w:t>
      </w:r>
    </w:p>
    <w:p>
      <w:pPr>
        <w:pStyle w:val="6"/>
        <w:keepNext w:val="0"/>
        <w:keepLines w:val="0"/>
        <w:pageBreakBefore w:val="0"/>
        <w:widowControl w:val="0"/>
        <w:kinsoku/>
        <w:wordWrap/>
        <w:topLinePunct w:val="0"/>
        <w:autoSpaceDN/>
        <w:bidi w:val="0"/>
        <w:adjustRightInd/>
        <w:snapToGrid w:val="0"/>
        <w:spacing w:line="560" w:lineRule="exact"/>
        <w:ind w:firstLine="640"/>
        <w:jc w:val="both"/>
        <w:textAlignment w:val="auto"/>
        <w:rPr>
          <w:rFonts w:hint="eastAsia" w:ascii="仿宋_GB2312" w:hAnsi="仿宋_GB2312" w:eastAsia="仿宋_GB2312" w:cs="仿宋_GB2312"/>
          <w:bCs/>
          <w:sz w:val="32"/>
          <w:szCs w:val="32"/>
        </w:rPr>
      </w:pP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四</w:t>
      </w:r>
      <w:r>
        <w:rPr>
          <w:rFonts w:hint="eastAsia" w:ascii="黑体" w:hAnsi="黑体" w:eastAsia="黑体"/>
          <w:sz w:val="32"/>
          <w:szCs w:val="32"/>
        </w:rPr>
        <w:t>、</w:t>
      </w:r>
      <w:r>
        <w:rPr>
          <w:rFonts w:hint="eastAsia" w:ascii="黑体" w:hAnsi="黑体" w:eastAsia="黑体" w:cs="Times New Roman"/>
          <w:sz w:val="32"/>
          <w:szCs w:val="32"/>
        </w:rPr>
        <w:t>本单位202</w:t>
      </w:r>
      <w:r>
        <w:rPr>
          <w:rFonts w:hint="eastAsia" w:ascii="黑体" w:hAnsi="黑体" w:eastAsia="黑体" w:cs="Times New Roman"/>
          <w:sz w:val="32"/>
          <w:szCs w:val="32"/>
          <w:lang w:val="en-US" w:eastAsia="zh-CN"/>
        </w:rPr>
        <w:t>4</w:t>
      </w:r>
      <w:r>
        <w:rPr>
          <w:rFonts w:hint="eastAsia" w:ascii="黑体" w:hAnsi="黑体" w:eastAsia="黑体" w:cs="Times New Roman"/>
          <w:sz w:val="32"/>
          <w:szCs w:val="32"/>
        </w:rPr>
        <w:t>年度推进法治政府建设的主要安排</w:t>
      </w:r>
    </w:p>
    <w:p>
      <w:pPr>
        <w:pStyle w:val="2"/>
        <w:keepNext w:val="0"/>
        <w:keepLines w:val="0"/>
        <w:pageBreakBefore w:val="0"/>
        <w:widowControl w:val="0"/>
        <w:kinsoku/>
        <w:wordWrap/>
        <w:overflowPunct/>
        <w:topLinePunct w:val="0"/>
        <w:autoSpaceDN/>
        <w:bidi w:val="0"/>
        <w:adjustRightInd/>
        <w:snapToGrid w:val="0"/>
        <w:spacing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探索“培训+”载体创新，助推理论学习“活起来”。</w:t>
      </w:r>
    </w:p>
    <w:p>
      <w:pPr>
        <w:pStyle w:val="2"/>
        <w:keepNext w:val="0"/>
        <w:keepLines w:val="0"/>
        <w:pageBreakBefore w:val="0"/>
        <w:widowControl w:val="0"/>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推动深入学习贯彻习近平法治思想，解决“理论学习兴趣不浓、学习走形式、不系统不深入”等瓶颈问题，在创新学习载体，丰富学习形式上下苦功，教育引导系统全体执法人员把学习贯彻习近平法治思想的成效更好地转化为服务群众、破解难题、提升实效的智慧力量。</w:t>
      </w:r>
    </w:p>
    <w:p>
      <w:pPr>
        <w:pStyle w:val="2"/>
        <w:keepNext w:val="0"/>
        <w:keepLines w:val="0"/>
        <w:pageBreakBefore w:val="0"/>
        <w:widowControl w:val="0"/>
        <w:kinsoku/>
        <w:wordWrap/>
        <w:overflowPunct/>
        <w:topLinePunct w:val="0"/>
        <w:autoSpaceDN/>
        <w:bidi w:val="0"/>
        <w:adjustRightInd/>
        <w:snapToGrid w:val="0"/>
        <w:spacing w:line="560" w:lineRule="exact"/>
        <w:ind w:firstLine="640" w:firstLineChars="200"/>
        <w:textAlignment w:val="auto"/>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拟在2024年度的工作中，通过探索“培训+实践”、“培训+媒体”、“培训+互动”相结合，让执法人员在实践中加深对党的创新理论的理解和领悟，通过案例分享、思想碰撞、观点交流，引领基层执法人员讲好城管执法故事，提升依法行政能力。</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（二）持续深化法制指导，提质增量助推法治政府建设。</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lang w:eastAsia="zh-CN"/>
        </w:rPr>
        <w:t>持续</w:t>
      </w:r>
      <w:r>
        <w:rPr>
          <w:rFonts w:hint="eastAsia" w:ascii="仿宋" w:hAnsi="仿宋" w:eastAsia="仿宋" w:cs="仿宋_GB2312"/>
          <w:sz w:val="32"/>
          <w:szCs w:val="32"/>
        </w:rPr>
        <w:t>落实推进案例指导工作，逐步实现重点领域执法事项案例全覆盖，出台执法指导案例汇编，为基层执法办案提供操作指引。编订执法工作指南，对类案开展面上指导。严格落实重大法核案件专项案卷评查工作，强化对案审人员的重点</w:t>
      </w:r>
      <w:r>
        <w:rPr>
          <w:rFonts w:hint="eastAsia" w:ascii="仿宋" w:hAnsi="仿宋" w:eastAsia="仿宋" w:cs="仿宋_GB2312"/>
          <w:sz w:val="32"/>
          <w:szCs w:val="32"/>
          <w:lang w:eastAsia="zh-CN"/>
        </w:rPr>
        <w:t>指导</w:t>
      </w:r>
      <w:r>
        <w:rPr>
          <w:rFonts w:hint="eastAsia" w:ascii="仿宋" w:hAnsi="仿宋" w:eastAsia="仿宋" w:cs="仿宋_GB2312"/>
          <w:sz w:val="32"/>
          <w:szCs w:val="32"/>
        </w:rPr>
        <w:t>。对案件评查发现的问题，</w:t>
      </w:r>
      <w:r>
        <w:rPr>
          <w:rFonts w:hint="eastAsia" w:ascii="仿宋" w:hAnsi="仿宋" w:eastAsia="仿宋" w:cs="仿宋_GB2312"/>
          <w:sz w:val="32"/>
          <w:szCs w:val="32"/>
          <w:lang w:eastAsia="zh-CN"/>
        </w:rPr>
        <w:t>进行</w:t>
      </w:r>
      <w:r>
        <w:rPr>
          <w:rFonts w:hint="eastAsia" w:ascii="仿宋" w:hAnsi="仿宋" w:eastAsia="仿宋" w:cs="仿宋_GB2312"/>
          <w:sz w:val="32"/>
          <w:szCs w:val="32"/>
        </w:rPr>
        <w:t>问题通报。开展执法全过程记录专项监督检查，推进执法全过程可追溯，确保执法规范落实到位。积极参与街镇重大疑难案件研判，开展个案指导。完善基层办案疑问快速响应机制，加强和法院、司法局以及相关管理部门交流互动，发挥好法制业务骨干、法律顾问、系统公职律师作用。</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拟在</w:t>
      </w:r>
      <w:r>
        <w:rPr>
          <w:rFonts w:hint="eastAsia" w:ascii="仿宋" w:hAnsi="仿宋" w:eastAsia="仿宋" w:cs="仿宋_GB2312"/>
          <w:sz w:val="32"/>
          <w:szCs w:val="32"/>
          <w:lang w:val="en-US" w:eastAsia="zh-CN"/>
        </w:rPr>
        <w:t>2024上半年度，</w:t>
      </w:r>
      <w:r>
        <w:rPr>
          <w:rFonts w:hint="eastAsia" w:ascii="仿宋" w:hAnsi="仿宋" w:eastAsia="仿宋" w:cs="仿宋_GB2312"/>
          <w:sz w:val="32"/>
          <w:szCs w:val="32"/>
          <w:lang w:eastAsia="zh-CN"/>
        </w:rPr>
        <w:t>持续</w:t>
      </w:r>
      <w:r>
        <w:rPr>
          <w:rFonts w:hint="eastAsia" w:ascii="仿宋" w:hAnsi="仿宋" w:eastAsia="仿宋" w:cs="仿宋_GB2312"/>
          <w:sz w:val="32"/>
          <w:szCs w:val="32"/>
        </w:rPr>
        <w:t>推行“点对点，下基层”</w:t>
      </w:r>
      <w:r>
        <w:rPr>
          <w:rFonts w:hint="eastAsia" w:ascii="仿宋" w:hAnsi="仿宋" w:eastAsia="仿宋" w:cs="仿宋_GB2312"/>
          <w:sz w:val="32"/>
          <w:szCs w:val="32"/>
          <w:lang w:eastAsia="zh-CN"/>
        </w:rPr>
        <w:t>法制指导和“手把手，传帮带”挂职锻炼工作</w:t>
      </w:r>
      <w:r>
        <w:rPr>
          <w:rFonts w:hint="eastAsia" w:ascii="仿宋" w:hAnsi="仿宋" w:eastAsia="仿宋" w:cs="仿宋_GB2312"/>
          <w:sz w:val="32"/>
          <w:szCs w:val="32"/>
        </w:rPr>
        <w:t>，</w:t>
      </w:r>
      <w:r>
        <w:rPr>
          <w:rFonts w:hint="eastAsia" w:ascii="仿宋" w:hAnsi="仿宋" w:eastAsia="仿宋" w:cs="仿宋_GB2312"/>
          <w:sz w:val="32"/>
          <w:szCs w:val="32"/>
          <w:lang w:eastAsia="zh-CN"/>
        </w:rPr>
        <w:t>完成两项工作全区街镇全覆盖；收集典型执法案例，结合案例剖析，拟形成</w:t>
      </w:r>
      <w:r>
        <w:rPr>
          <w:rFonts w:hint="eastAsia" w:ascii="仿宋" w:hAnsi="仿宋" w:eastAsia="仿宋" w:cs="仿宋_GB2312"/>
          <w:sz w:val="32"/>
          <w:szCs w:val="32"/>
        </w:rPr>
        <w:t>执法指导案例汇编</w:t>
      </w:r>
      <w:r>
        <w:rPr>
          <w:rFonts w:hint="eastAsia" w:ascii="仿宋" w:hAnsi="仿宋" w:eastAsia="仿宋" w:cs="仿宋_GB2312"/>
          <w:sz w:val="32"/>
          <w:szCs w:val="32"/>
          <w:lang w:eastAsia="zh-CN"/>
        </w:rPr>
        <w:t>进行印发。</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（三）健全业务培训长效机制</w:t>
      </w:r>
      <w:r>
        <w:rPr>
          <w:rFonts w:hint="eastAsia" w:ascii="楷体" w:hAnsi="楷体" w:eastAsia="楷体" w:cs="楷体"/>
          <w:sz w:val="32"/>
          <w:szCs w:val="32"/>
        </w:rPr>
        <w:t>，</w:t>
      </w:r>
      <w:r>
        <w:rPr>
          <w:rFonts w:hint="eastAsia" w:ascii="楷体" w:hAnsi="楷体" w:eastAsia="楷体" w:cs="楷体"/>
          <w:sz w:val="32"/>
          <w:szCs w:val="32"/>
          <w:lang w:eastAsia="zh-CN"/>
        </w:rPr>
        <w:t>监督</w:t>
      </w:r>
      <w:r>
        <w:rPr>
          <w:rFonts w:hint="eastAsia" w:ascii="楷体" w:hAnsi="楷体" w:eastAsia="楷体" w:cs="楷体"/>
          <w:sz w:val="32"/>
          <w:szCs w:val="32"/>
        </w:rPr>
        <w:t>执法办案规范</w:t>
      </w:r>
      <w:r>
        <w:rPr>
          <w:rFonts w:hint="eastAsia" w:ascii="楷体" w:hAnsi="楷体" w:eastAsia="楷体" w:cs="楷体"/>
          <w:sz w:val="32"/>
          <w:szCs w:val="32"/>
          <w:lang w:eastAsia="zh-CN"/>
        </w:rPr>
        <w:t>化建设</w:t>
      </w:r>
      <w:r>
        <w:rPr>
          <w:rFonts w:hint="eastAsia" w:ascii="楷体" w:hAnsi="楷体" w:eastAsia="楷体" w:cs="楷体"/>
          <w:sz w:val="32"/>
          <w:szCs w:val="32"/>
        </w:rPr>
        <w:t>。</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 w:hAnsi="仿宋" w:eastAsia="仿宋" w:cs="仿宋_GB2312"/>
          <w:sz w:val="32"/>
          <w:szCs w:val="32"/>
        </w:rPr>
      </w:pPr>
      <w:r>
        <w:rPr>
          <w:rFonts w:hint="eastAsia" w:ascii="仿宋_GB2312" w:hAnsi="仿宋_GB2312" w:eastAsia="仿宋_GB2312" w:cs="仿宋_GB2312"/>
          <w:b w:val="0"/>
          <w:bCs w:val="0"/>
          <w:sz w:val="32"/>
          <w:szCs w:val="32"/>
          <w:highlight w:val="none"/>
          <w:u w:val="none"/>
          <w:lang w:val="en-US" w:eastAsia="zh-CN"/>
        </w:rPr>
        <w:t>重点围绕综合行政执法下沉中涉及的新增执法事项，</w:t>
      </w:r>
      <w:r>
        <w:rPr>
          <w:rFonts w:hint="eastAsia" w:ascii="仿宋" w:hAnsi="仿宋" w:eastAsia="仿宋" w:cs="仿宋_GB2312"/>
          <w:sz w:val="32"/>
          <w:szCs w:val="32"/>
          <w:lang w:eastAsia="zh-CN"/>
        </w:rPr>
        <w:t>持续与管理部门建立健全对各行业条线的双向沟通、执法协作、管执联动、联合监管等方面工作机制，</w:t>
      </w:r>
      <w:r>
        <w:rPr>
          <w:rFonts w:hint="eastAsia" w:ascii="仿宋" w:hAnsi="仿宋" w:eastAsia="仿宋" w:cs="仿宋_GB2312"/>
          <w:sz w:val="32"/>
          <w:szCs w:val="32"/>
        </w:rPr>
        <w:t>开展</w:t>
      </w:r>
      <w:r>
        <w:rPr>
          <w:rFonts w:hint="eastAsia" w:ascii="仿宋" w:hAnsi="仿宋" w:eastAsia="仿宋" w:cs="仿宋_GB2312"/>
          <w:sz w:val="32"/>
          <w:szCs w:val="32"/>
          <w:lang w:eastAsia="zh-CN"/>
        </w:rPr>
        <w:t>部门联动、业务对口的</w:t>
      </w:r>
      <w:r>
        <w:rPr>
          <w:rFonts w:hint="eastAsia" w:ascii="仿宋" w:hAnsi="仿宋" w:eastAsia="仿宋" w:cs="仿宋_GB2312"/>
          <w:sz w:val="32"/>
          <w:szCs w:val="32"/>
        </w:rPr>
        <w:t>法制培训，及时解读</w:t>
      </w:r>
      <w:r>
        <w:rPr>
          <w:rFonts w:hint="eastAsia" w:ascii="仿宋" w:hAnsi="仿宋" w:eastAsia="仿宋" w:cs="仿宋_GB2312"/>
          <w:sz w:val="32"/>
          <w:szCs w:val="32"/>
          <w:lang w:eastAsia="zh-CN"/>
        </w:rPr>
        <w:t>综合执法</w:t>
      </w:r>
      <w:r>
        <w:rPr>
          <w:rFonts w:hint="eastAsia" w:ascii="仿宋" w:hAnsi="仿宋" w:eastAsia="仿宋" w:cs="仿宋_GB2312"/>
          <w:sz w:val="32"/>
          <w:szCs w:val="32"/>
        </w:rPr>
        <w:t>业务口径</w:t>
      </w:r>
      <w:r>
        <w:rPr>
          <w:rFonts w:hint="eastAsia" w:ascii="仿宋" w:hAnsi="仿宋" w:eastAsia="仿宋" w:cs="仿宋_GB2312"/>
          <w:sz w:val="32"/>
          <w:szCs w:val="32"/>
          <w:lang w:eastAsia="zh-CN"/>
        </w:rPr>
        <w:t>，</w:t>
      </w:r>
      <w:r>
        <w:rPr>
          <w:rFonts w:hint="eastAsia" w:ascii="仿宋_GB2312" w:hAnsi="仿宋_GB2312" w:eastAsia="仿宋_GB2312" w:cs="仿宋_GB2312"/>
          <w:b w:val="0"/>
          <w:bCs w:val="0"/>
          <w:sz w:val="32"/>
          <w:szCs w:val="32"/>
          <w:highlight w:val="none"/>
          <w:u w:val="none"/>
          <w:lang w:val="en-US" w:eastAsia="zh-CN"/>
        </w:rPr>
        <w:t>提升队伍执法实战能力和专业化水平</w:t>
      </w:r>
      <w:r>
        <w:rPr>
          <w:rFonts w:hint="eastAsia" w:ascii="仿宋" w:hAnsi="仿宋" w:eastAsia="仿宋" w:cs="仿宋_GB2312"/>
          <w:sz w:val="32"/>
          <w:szCs w:val="32"/>
        </w:rPr>
        <w:t>。严格落实重大法核案件专项案卷评查工作，强化对案件审核人员的重点培训。</w:t>
      </w:r>
      <w:r>
        <w:rPr>
          <w:rFonts w:hint="eastAsia" w:ascii="仿宋" w:hAnsi="仿宋" w:eastAsia="仿宋" w:cs="仿宋_GB2312"/>
          <w:sz w:val="32"/>
          <w:szCs w:val="32"/>
          <w:lang w:eastAsia="zh-CN"/>
        </w:rPr>
        <w:t>逐步建立“市级</w:t>
      </w:r>
      <w:r>
        <w:rPr>
          <w:rFonts w:hint="eastAsia" w:ascii="仿宋" w:hAnsi="仿宋" w:eastAsia="仿宋" w:cs="仿宋_GB2312"/>
          <w:sz w:val="32"/>
          <w:szCs w:val="32"/>
          <w:lang w:val="en-US" w:eastAsia="zh-CN"/>
        </w:rPr>
        <w:t>-区级-街镇”三级案卷评查体系，</w:t>
      </w:r>
      <w:r>
        <w:rPr>
          <w:rFonts w:hint="eastAsia" w:ascii="仿宋" w:hAnsi="仿宋" w:eastAsia="仿宋" w:cs="仿宋_GB2312"/>
          <w:sz w:val="32"/>
          <w:szCs w:val="32"/>
          <w:lang w:eastAsia="zh-CN"/>
        </w:rPr>
        <w:t>拓展案卷评查范畴，结合市城管执法局的专项工作，对重点领域案件有针对性地开展案卷评查。</w:t>
      </w:r>
      <w:r>
        <w:rPr>
          <w:rFonts w:hint="eastAsia" w:ascii="仿宋" w:hAnsi="仿宋" w:eastAsia="仿宋" w:cs="仿宋_GB2312"/>
          <w:sz w:val="32"/>
          <w:szCs w:val="32"/>
        </w:rPr>
        <w:t>对案件评查发现的问题，</w:t>
      </w:r>
      <w:r>
        <w:rPr>
          <w:rFonts w:hint="eastAsia" w:ascii="仿宋" w:hAnsi="仿宋" w:eastAsia="仿宋" w:cs="仿宋_GB2312"/>
          <w:sz w:val="32"/>
          <w:szCs w:val="32"/>
          <w:lang w:eastAsia="zh-CN"/>
        </w:rPr>
        <w:t>进行</w:t>
      </w:r>
      <w:r>
        <w:rPr>
          <w:rFonts w:hint="eastAsia" w:ascii="仿宋" w:hAnsi="仿宋" w:eastAsia="仿宋" w:cs="仿宋_GB2312"/>
          <w:sz w:val="32"/>
          <w:szCs w:val="32"/>
        </w:rPr>
        <w:t>问题通报。开展执法全过程记录专项监督检查，推进执法全过程可追溯，确保执法规范落实到位。</w:t>
      </w:r>
    </w:p>
    <w:p>
      <w:pPr>
        <w:keepNext w:val="0"/>
        <w:keepLines w:val="0"/>
        <w:pageBreakBefore w:val="0"/>
        <w:widowControl w:val="0"/>
        <w:kinsoku/>
        <w:wordWrap/>
        <w:topLinePunct w:val="0"/>
        <w:autoSpaceDN/>
        <w:bidi w:val="0"/>
        <w:adjustRightInd/>
        <w:snapToGrid w:val="0"/>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eastAsia="zh-CN"/>
        </w:rPr>
        <w:t>拟在</w:t>
      </w:r>
      <w:r>
        <w:rPr>
          <w:rFonts w:hint="eastAsia" w:ascii="仿宋" w:hAnsi="仿宋" w:eastAsia="仿宋" w:cs="仿宋_GB2312"/>
          <w:sz w:val="32"/>
          <w:szCs w:val="32"/>
          <w:lang w:val="en-US" w:eastAsia="zh-CN"/>
        </w:rPr>
        <w:t>2024上半年度对新建的街镇（司法所）案卷评查系统开展试运行，完成系统问题收集与更新，并根据试运行情况，拟于下半年度正式投入实际使用。</w:t>
      </w:r>
    </w:p>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altName w:val="Arial Unicode MS"/>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roman"/>
    <w:pitch w:val="default"/>
    <w:sig w:usb0="00000000" w:usb1="00000000" w:usb2="0A246029" w:usb3="0400200C" w:csb0="600001FF" w:csb1="DFFF0000"/>
  </w:font>
  <w:font w:name="华文新魏">
    <w:panose1 w:val="02010800040101010101"/>
    <w:charset w:val="86"/>
    <w:family w:val="auto"/>
    <w:pitch w:val="default"/>
    <w:sig w:usb0="00000001" w:usb1="080F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9332"/>
      <w:docPartObj>
        <w:docPartGallery w:val="autotext"/>
      </w:docPartObj>
    </w:sdtPr>
    <w:sdtContent>
      <w:p>
        <w:pPr>
          <w:pStyle w:val="3"/>
          <w:wordWrap w:val="0"/>
          <w:jc w:val="right"/>
        </w:pPr>
        <w:r>
          <w:rPr>
            <w:sz w:val="28"/>
          </w:rPr>
          <w:fldChar w:fldCharType="begin"/>
        </w:r>
        <w:r>
          <w:rPr>
            <w:sz w:val="28"/>
          </w:rPr>
          <w:instrText xml:space="preserve"> PAGE   \* MERGEFORMAT </w:instrText>
        </w:r>
        <w:r>
          <w:rPr>
            <w:sz w:val="28"/>
          </w:rPr>
          <w:fldChar w:fldCharType="separate"/>
        </w:r>
        <w:r>
          <w:rPr>
            <w:sz w:val="28"/>
            <w:lang w:val="zh-CN"/>
          </w:rPr>
          <w:t>-</w:t>
        </w:r>
        <w:r>
          <w:rPr>
            <w:sz w:val="28"/>
          </w:rPr>
          <w:t xml:space="preserve"> 15 -</w:t>
        </w:r>
        <w:r>
          <w:rPr>
            <w:sz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9342"/>
      <w:docPartObj>
        <w:docPartGallery w:val="autotext"/>
      </w:docPartObj>
    </w:sdtPr>
    <w:sdtContent>
      <w:p>
        <w:pPr>
          <w:pStyle w:val="3"/>
          <w:ind w:firstLine="180" w:firstLineChars="100"/>
        </w:pPr>
        <w:r>
          <w:rPr>
            <w:sz w:val="28"/>
          </w:rPr>
          <w:fldChar w:fldCharType="begin"/>
        </w:r>
        <w:r>
          <w:rPr>
            <w:sz w:val="28"/>
          </w:rPr>
          <w:instrText xml:space="preserve"> PAGE   \* MERGEFORMAT </w:instrText>
        </w:r>
        <w:r>
          <w:rPr>
            <w:sz w:val="28"/>
          </w:rPr>
          <w:fldChar w:fldCharType="separate"/>
        </w:r>
        <w:r>
          <w:rPr>
            <w:sz w:val="28"/>
            <w:lang w:val="zh-CN"/>
          </w:rPr>
          <w:t>-</w:t>
        </w:r>
        <w:r>
          <w:rPr>
            <w:sz w:val="28"/>
          </w:rPr>
          <w:t xml:space="preserve"> 16 -</w:t>
        </w:r>
        <w:r>
          <w:rPr>
            <w:sz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065C4"/>
    <w:multiLevelType w:val="singleLevel"/>
    <w:tmpl w:val="225065C4"/>
    <w:lvl w:ilvl="0" w:tentative="0">
      <w:start w:val="1"/>
      <w:numFmt w:val="decimal"/>
      <w:suff w:val="space"/>
      <w:lvlText w:val="%1."/>
      <w:lvlJc w:val="left"/>
    </w:lvl>
  </w:abstractNum>
  <w:abstractNum w:abstractNumId="1">
    <w:nsid w:val="7137BF64"/>
    <w:multiLevelType w:val="singleLevel"/>
    <w:tmpl w:val="7137BF6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yYTAzM2EwMWM4M2UxYTI2OTk1MWJlZWY0MWEyYjcifQ=="/>
  </w:docVars>
  <w:rsids>
    <w:rsidRoot w:val="005B4742"/>
    <w:rsid w:val="00067AFC"/>
    <w:rsid w:val="000808A7"/>
    <w:rsid w:val="00084D78"/>
    <w:rsid w:val="00094869"/>
    <w:rsid w:val="000A1B3E"/>
    <w:rsid w:val="000B24D7"/>
    <w:rsid w:val="000C65A9"/>
    <w:rsid w:val="000D5299"/>
    <w:rsid w:val="0012715B"/>
    <w:rsid w:val="00156DD8"/>
    <w:rsid w:val="0018366D"/>
    <w:rsid w:val="001A4E1E"/>
    <w:rsid w:val="001A58FE"/>
    <w:rsid w:val="001B0E10"/>
    <w:rsid w:val="001F2315"/>
    <w:rsid w:val="001F4734"/>
    <w:rsid w:val="002015A6"/>
    <w:rsid w:val="0028465D"/>
    <w:rsid w:val="002A0EC1"/>
    <w:rsid w:val="00336EE6"/>
    <w:rsid w:val="0034613C"/>
    <w:rsid w:val="003646E6"/>
    <w:rsid w:val="003658E4"/>
    <w:rsid w:val="00385A51"/>
    <w:rsid w:val="003D7584"/>
    <w:rsid w:val="003F6F90"/>
    <w:rsid w:val="004022C8"/>
    <w:rsid w:val="00411DB7"/>
    <w:rsid w:val="004177E8"/>
    <w:rsid w:val="00437CED"/>
    <w:rsid w:val="00447AC6"/>
    <w:rsid w:val="00465554"/>
    <w:rsid w:val="004907EA"/>
    <w:rsid w:val="004B07A5"/>
    <w:rsid w:val="004B33FD"/>
    <w:rsid w:val="004D1B23"/>
    <w:rsid w:val="004F3B9A"/>
    <w:rsid w:val="005038AA"/>
    <w:rsid w:val="00522E28"/>
    <w:rsid w:val="00540FB1"/>
    <w:rsid w:val="005451C9"/>
    <w:rsid w:val="00561BE2"/>
    <w:rsid w:val="00591409"/>
    <w:rsid w:val="005A092D"/>
    <w:rsid w:val="005A18FF"/>
    <w:rsid w:val="005A7333"/>
    <w:rsid w:val="005B30B3"/>
    <w:rsid w:val="005B4742"/>
    <w:rsid w:val="005F1C09"/>
    <w:rsid w:val="00602AF3"/>
    <w:rsid w:val="00631A1C"/>
    <w:rsid w:val="006618F0"/>
    <w:rsid w:val="006A110D"/>
    <w:rsid w:val="006C238C"/>
    <w:rsid w:val="006D25BD"/>
    <w:rsid w:val="006D74CF"/>
    <w:rsid w:val="0074594F"/>
    <w:rsid w:val="00745DF6"/>
    <w:rsid w:val="00752C92"/>
    <w:rsid w:val="007C1238"/>
    <w:rsid w:val="007E220D"/>
    <w:rsid w:val="00827C0A"/>
    <w:rsid w:val="0088100F"/>
    <w:rsid w:val="008B12AB"/>
    <w:rsid w:val="008C1EBA"/>
    <w:rsid w:val="008D2809"/>
    <w:rsid w:val="008F745E"/>
    <w:rsid w:val="00901B16"/>
    <w:rsid w:val="00927635"/>
    <w:rsid w:val="009A40F7"/>
    <w:rsid w:val="009B56B3"/>
    <w:rsid w:val="009F0D01"/>
    <w:rsid w:val="00A546D1"/>
    <w:rsid w:val="00A877ED"/>
    <w:rsid w:val="00A961DF"/>
    <w:rsid w:val="00B02D55"/>
    <w:rsid w:val="00BA5AD5"/>
    <w:rsid w:val="00BB418A"/>
    <w:rsid w:val="00BC6E56"/>
    <w:rsid w:val="00BD00D1"/>
    <w:rsid w:val="00BE0506"/>
    <w:rsid w:val="00BF7D00"/>
    <w:rsid w:val="00BF7F7D"/>
    <w:rsid w:val="00C03DC3"/>
    <w:rsid w:val="00C4337F"/>
    <w:rsid w:val="00C557E6"/>
    <w:rsid w:val="00C6562D"/>
    <w:rsid w:val="00C86B25"/>
    <w:rsid w:val="00C87001"/>
    <w:rsid w:val="00CE4BD0"/>
    <w:rsid w:val="00D227CA"/>
    <w:rsid w:val="00D34B26"/>
    <w:rsid w:val="00D4032B"/>
    <w:rsid w:val="00D55EDE"/>
    <w:rsid w:val="00D92B77"/>
    <w:rsid w:val="00DA1895"/>
    <w:rsid w:val="00DB61BF"/>
    <w:rsid w:val="00DE2429"/>
    <w:rsid w:val="00E12593"/>
    <w:rsid w:val="00E15858"/>
    <w:rsid w:val="00E162EC"/>
    <w:rsid w:val="00E2416B"/>
    <w:rsid w:val="00E45CE6"/>
    <w:rsid w:val="00E90C42"/>
    <w:rsid w:val="00E93ADD"/>
    <w:rsid w:val="00E96ADF"/>
    <w:rsid w:val="00EA201F"/>
    <w:rsid w:val="00EA2F74"/>
    <w:rsid w:val="00EB53EA"/>
    <w:rsid w:val="00ED71A3"/>
    <w:rsid w:val="00F079BF"/>
    <w:rsid w:val="00F1184F"/>
    <w:rsid w:val="00F922CF"/>
    <w:rsid w:val="00FA5864"/>
    <w:rsid w:val="00FE23F5"/>
    <w:rsid w:val="00FF4555"/>
    <w:rsid w:val="0C727D80"/>
    <w:rsid w:val="16AC203F"/>
    <w:rsid w:val="18B92FE5"/>
    <w:rsid w:val="241564F4"/>
    <w:rsid w:val="37705624"/>
    <w:rsid w:val="3DB31F6D"/>
    <w:rsid w:val="64EC50B9"/>
    <w:rsid w:val="7A2650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方正书宋_GBK" w:hAnsi="DejaVu Sans"/>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2"/>
    <w:basedOn w:val="1"/>
    <w:next w:val="1"/>
    <w:qFormat/>
    <w:uiPriority w:val="0"/>
    <w:pPr>
      <w:ind w:left="420" w:leftChars="200"/>
    </w:pPr>
  </w:style>
  <w:style w:type="paragraph" w:styleId="6">
    <w:name w:val="Body Text 2"/>
    <w:basedOn w:val="1"/>
    <w:link w:val="12"/>
    <w:uiPriority w:val="0"/>
    <w:pPr>
      <w:jc w:val="center"/>
    </w:pPr>
    <w:rPr>
      <w:rFonts w:ascii="Times New Roman" w:hAnsi="Times New Roman" w:eastAsia="华文新魏" w:cs="Times New Roman"/>
      <w:sz w:val="44"/>
    </w:rPr>
  </w:style>
  <w:style w:type="character" w:customStyle="1" w:styleId="9">
    <w:name w:val="页眉 Char"/>
    <w:basedOn w:val="8"/>
    <w:link w:val="4"/>
    <w:semiHidden/>
    <w:uiPriority w:val="99"/>
    <w:rPr>
      <w:sz w:val="18"/>
      <w:szCs w:val="18"/>
    </w:rPr>
  </w:style>
  <w:style w:type="character" w:customStyle="1" w:styleId="10">
    <w:name w:val="页脚 Char"/>
    <w:basedOn w:val="8"/>
    <w:link w:val="3"/>
    <w:uiPriority w:val="99"/>
    <w:rPr>
      <w:sz w:val="18"/>
      <w:szCs w:val="18"/>
    </w:rPr>
  </w:style>
  <w:style w:type="paragraph" w:customStyle="1" w:styleId="11">
    <w:name w:val="列出段落1"/>
    <w:basedOn w:val="1"/>
    <w:qFormat/>
    <w:uiPriority w:val="34"/>
    <w:pPr>
      <w:ind w:firstLine="420" w:firstLineChars="200"/>
    </w:pPr>
  </w:style>
  <w:style w:type="character" w:customStyle="1" w:styleId="12">
    <w:name w:val="正文文本 2 Char"/>
    <w:basedOn w:val="8"/>
    <w:link w:val="6"/>
    <w:uiPriority w:val="0"/>
    <w:rPr>
      <w:rFonts w:ascii="Times New Roman" w:hAnsi="Times New Roman" w:eastAsia="华文新魏" w:cs="Times New Roman"/>
      <w:kern w:val="2"/>
      <w:sz w:val="44"/>
      <w:szCs w:val="22"/>
    </w:rPr>
  </w:style>
  <w:style w:type="character" w:customStyle="1" w:styleId="13">
    <w:name w:val="15"/>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20</Pages>
  <Words>1649</Words>
  <Characters>9400</Characters>
  <Lines>78</Lines>
  <Paragraphs>22</Paragraphs>
  <TotalTime>8</TotalTime>
  <ScaleCrop>false</ScaleCrop>
  <LinksUpToDate>false</LinksUpToDate>
  <CharactersWithSpaces>11027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2022-12-13T02:21:00Z</dcterms:created>
  <dc:creator>lenovo</dc:creator>
  <cp:lastModifiedBy>lenovo</cp:lastModifiedBy>
  <cp:lastPrinted>2022-07-14T00:53:00Z</cp:lastPrinted>
  <dcterms:modified xsi:type="dcterms:W3CDTF">2023-12-29T00:41:09Z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310A0A2C98564575B8C6CFB8D0A5935E</vt:lpwstr>
  </property>
</Properties>
</file>