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bidi="ar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eastAsia="zh-CN" w:bidi="ar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长宁区质量提升“十五五”规划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（草案）</w:t>
      </w:r>
      <w:r>
        <w:rPr>
          <w:rFonts w:hint="eastAsia" w:ascii="方正小标宋简体" w:hAnsi="方正小标宋简体" w:eastAsia="方正小标宋简体" w:cs="方正小标宋简体"/>
          <w:color w:val="231F20"/>
          <w:kern w:val="0"/>
          <w:sz w:val="44"/>
          <w:szCs w:val="44"/>
          <w:lang w:eastAsia="zh-CN" w:bidi="ar"/>
        </w:rPr>
        <w:t>》的背景介绍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color w:val="231F2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eastAsia="zh-CN" w:bidi="ar"/>
        </w:rPr>
        <w:t>一、《</w:t>
      </w:r>
      <w:r>
        <w:rPr>
          <w:rFonts w:hint="eastAsia" w:ascii="黑体" w:hAnsi="黑体" w:eastAsia="黑体" w:cs="黑体"/>
          <w:bCs/>
          <w:sz w:val="32"/>
          <w:szCs w:val="32"/>
        </w:rPr>
        <w:t>长宁区质量提升“十五五”规划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（草案）</w:t>
      </w: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eastAsia="zh-CN" w:bidi="ar"/>
        </w:rPr>
        <w:t>》制定背景说明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楷体" w:eastAsia="仿宋_GB2312"/>
          <w:sz w:val="32"/>
          <w:szCs w:val="32"/>
        </w:rPr>
      </w:pPr>
      <w:bookmarkStart w:id="0" w:name="_Hlk43233425"/>
      <w:r>
        <w:rPr>
          <w:rFonts w:hint="eastAsia" w:ascii="仿宋_GB2312" w:hAnsi="仿宋_GB2312" w:eastAsia="仿宋_GB2312" w:cs="仿宋_GB2312"/>
          <w:sz w:val="32"/>
          <w:szCs w:val="32"/>
        </w:rPr>
        <w:t>“十四五”时期是长宁区深入推进质量强区建设、打造具有世界影响力国际精品城区的关键阶段。《长宁区质量提升“十四五”规划》历经五年实践，长宁区质量工作在体制机制创新、产业质量升级、民生服务优化等方面取得显著成效</w:t>
      </w:r>
      <w:bookmarkEnd w:id="0"/>
      <w:r>
        <w:rPr>
          <w:rFonts w:hint="eastAsia" w:ascii="仿宋_GB2312" w:hAnsi="楷体" w:eastAsia="仿宋_GB2312"/>
          <w:sz w:val="32"/>
          <w:szCs w:val="32"/>
        </w:rPr>
        <w:t>。根据中共中央、国务院印发的《质量强国建设纲要》、上海市《质量强国建设纲要上海实施方案》和《长宁区国民经济和社会发展第十五个五年规划纲要》的要求，为深入贯彻质量强国战略，全面落实上海市质量提升行动要求，紧抓虹桥国际开放枢纽建设等重大战略机遇，更好地服务长宁区建设具有世界影响力的国际精品城区，制定《长宁区质量提升“十五五”规划（草案）》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color w:val="231F2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二、《</w:t>
      </w:r>
      <w:r>
        <w:rPr>
          <w:rFonts w:hint="eastAsia" w:ascii="黑体" w:hAnsi="黑体" w:eastAsia="黑体" w:cs="黑体"/>
          <w:bCs/>
          <w:sz w:val="32"/>
          <w:szCs w:val="32"/>
        </w:rPr>
        <w:t>长宁区质量提升“十五五”规划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（草案）</w:t>
      </w:r>
      <w:r>
        <w:rPr>
          <w:rFonts w:hint="eastAsia" w:ascii="黑体" w:hAnsi="黑体" w:eastAsia="黑体" w:cs="黑体"/>
          <w:color w:val="231F20"/>
          <w:kern w:val="0"/>
          <w:sz w:val="32"/>
          <w:szCs w:val="32"/>
          <w:lang w:eastAsia="zh-CN" w:bidi="ar"/>
        </w:rPr>
        <w:t>》的主要内容</w:t>
      </w:r>
    </w:p>
    <w:p>
      <w:pPr>
        <w:pStyle w:val="4"/>
        <w:spacing w:beforeLines="0"/>
        <w:jc w:val="both"/>
        <w:rPr>
          <w:rFonts w:hint="default" w:ascii="仿宋_GB2312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主要包括发展基础与面临形势、总体要求、重点领域质量提升、质量基础设施建设、质量创新与品牌建设、质量监管与治理、保障措施等七个部分。其中主要目标从产品和工程质量持续提升、卓越意识不断增强、质量创新深度赋能、人民生活品质持续提高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等四个方面确定了11项主要完成目标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；重点领域质量提升从</w:t>
      </w:r>
      <w:bookmarkStart w:id="1" w:name="_Toc346001783_WPSOffice_Level2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创新型产品质量提升</w:t>
      </w:r>
      <w:bookmarkEnd w:id="1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" w:eastAsia="zh-CN"/>
        </w:rPr>
        <w:t>消费型产品质量提升</w:t>
      </w:r>
      <w:bookmarkStart w:id="2" w:name="_Toc2056932360_WPSOffice_Level2"/>
      <w:r>
        <w:rPr>
          <w:rFonts w:hint="eastAsia" w:ascii="仿宋_GB2312" w:hAnsi="Times New Roman" w:eastAsia="仿宋_GB2312" w:cs="Times New Roman"/>
          <w:sz w:val="32"/>
          <w:szCs w:val="32"/>
          <w:lang w:val="en"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工程质量提升</w:t>
      </w:r>
      <w:bookmarkEnd w:id="2"/>
      <w:bookmarkStart w:id="3" w:name="_Toc1952907432_WPSOffice_Level2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、服务质量提升</w:t>
      </w:r>
      <w:bookmarkEnd w:id="3"/>
      <w:bookmarkStart w:id="4" w:name="_Toc1622355873_WPSOffice_Level2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、人居环境质量提升</w:t>
      </w:r>
      <w:bookmarkEnd w:id="4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等五个方面实施提升任务。质量基础设施建设从</w:t>
      </w:r>
      <w:bookmarkStart w:id="5" w:name="_Toc17882377_WPSOffice_Level2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加强标准体系建设</w:t>
      </w:r>
      <w:bookmarkEnd w:id="5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、</w:t>
      </w:r>
      <w:bookmarkStart w:id="6" w:name="_Toc206143442"/>
      <w:bookmarkStart w:id="7" w:name="_Toc639171545_WPSOffice_Level2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强化检验检测认证能力</w:t>
      </w:r>
      <w:bookmarkEnd w:id="6"/>
      <w:bookmarkEnd w:id="7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、</w:t>
      </w:r>
      <w:bookmarkStart w:id="8" w:name="_Toc206143443"/>
      <w:bookmarkStart w:id="9" w:name="_Toc1770005680_WPSOffice_Level2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提升质量基础设施集成服务能力</w:t>
      </w:r>
      <w:bookmarkEnd w:id="8"/>
      <w:bookmarkEnd w:id="9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、</w:t>
      </w:r>
      <w:bookmarkStart w:id="10" w:name="_Toc1728371916_WPSOffice_Level2"/>
      <w:bookmarkStart w:id="11" w:name="_Toc206143441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提升计量服务能力</w:t>
      </w:r>
      <w:bookmarkEnd w:id="10"/>
      <w:bookmarkEnd w:id="11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等四个方面实施能力提升,质量创新与品牌建设从质量品牌培育体系建设</w:t>
      </w:r>
      <w:r>
        <w:rPr>
          <w:rFonts w:hint="eastAsia" w:ascii="仿宋_GB2312" w:hAnsi="Times New Roman" w:eastAsia="仿宋_GB2312" w:cs="Times New Roman"/>
          <w:sz w:val="32"/>
          <w:szCs w:val="32"/>
          <w:lang w:val="en"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质量强企强链强区协同创新、知识产权全链条生态构建等三个方面组织实施</w:t>
      </w:r>
      <w:r>
        <w:rPr>
          <w:rFonts w:hint="default" w:ascii="仿宋_GB2312" w:hAnsi="Times New Roman" w:eastAsia="仿宋_GB2312" w:cs="Times New Roman"/>
          <w:sz w:val="32"/>
          <w:szCs w:val="32"/>
          <w:lang w:val="en" w:eastAsia="zh-CN"/>
        </w:rPr>
        <w:t>,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质量监管与治理从完善质量监管体系</w:t>
      </w:r>
      <w:r>
        <w:rPr>
          <w:rFonts w:hint="eastAsia" w:ascii="仿宋_GB2312" w:hAnsi="Times New Roman" w:eastAsia="仿宋_GB2312" w:cs="Times New Roman"/>
          <w:sz w:val="32"/>
          <w:szCs w:val="32"/>
          <w:lang w:val="en"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强化质量安全风险防控、推进质量社会共治等三个方面实施推进落实</w:t>
      </w:r>
      <w:r>
        <w:rPr>
          <w:rFonts w:hint="default" w:ascii="仿宋_GB2312" w:hAnsi="Times New Roman" w:eastAsia="仿宋_GB2312" w:cs="Times New Roman"/>
          <w:sz w:val="32"/>
          <w:szCs w:val="32"/>
          <w:lang w:val="en" w:eastAsia="zh-CN"/>
        </w:rPr>
        <w:t>,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保障措施从加强组织领导、强化政策支持、加强人才保障等方面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确保规划任务的完成。</w:t>
      </w:r>
      <w:bookmarkStart w:id="12" w:name="_GoBack"/>
      <w:bookmarkEnd w:id="12"/>
    </w:p>
    <w:sectPr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77D7E"/>
    <w:rsid w:val="7F92A24C"/>
    <w:rsid w:val="97B75E03"/>
    <w:rsid w:val="B56FB77D"/>
    <w:rsid w:val="BFDD11E8"/>
    <w:rsid w:val="F7F98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9"/>
    <w:pPr>
      <w:adjustRightInd w:val="0"/>
      <w:snapToGrid w:val="0"/>
      <w:spacing w:beforeLines="50" w:line="560" w:lineRule="exact"/>
      <w:ind w:firstLine="640" w:firstLineChars="200"/>
      <w:outlineLvl w:val="0"/>
    </w:pPr>
    <w:rPr>
      <w:rFonts w:ascii="黑体" w:hAnsi="黑体" w:eastAsia="黑体" w:cs="楷体_GB2312"/>
      <w:bCs/>
      <w:color w:val="000000"/>
      <w:sz w:val="32"/>
      <w:szCs w:val="30"/>
      <w:lang w:val="en-US" w:eastAsia="zh-CN" w:bidi="ar-SA"/>
    </w:rPr>
  </w:style>
  <w:style w:type="paragraph" w:styleId="4">
    <w:name w:val="heading 2"/>
    <w:next w:val="1"/>
    <w:unhideWhenUsed/>
    <w:qFormat/>
    <w:uiPriority w:val="0"/>
    <w:pPr>
      <w:adjustRightInd w:val="0"/>
      <w:snapToGrid w:val="0"/>
      <w:spacing w:beforeLines="50" w:line="560" w:lineRule="exact"/>
      <w:ind w:firstLine="640" w:firstLineChars="200"/>
      <w:outlineLvl w:val="1"/>
    </w:pPr>
    <w:rPr>
      <w:rFonts w:ascii="黑体" w:hAnsi="黑体" w:eastAsia="楷体_GB2312" w:cs="楷体_GB2312"/>
      <w:bCs/>
      <w:color w:val="000000"/>
      <w:sz w:val="32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beforeLines="100" w:after="100" w:line="276" w:lineRule="auto"/>
      <w:ind w:firstLine="600"/>
      <w:jc w:val="left"/>
    </w:pPr>
    <w:rPr>
      <w:rFonts w:ascii="Calibri" w:hAnsi="Calibri"/>
      <w:bCs/>
      <w:sz w:val="22"/>
      <w:szCs w:val="30"/>
      <w:lang w:val="zh-CN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2026-01-28T02:41:00Z</dcterms:created>
  <dc:creator>user</dc:creator>
  <cp:lastModifiedBy>user</cp:lastModifiedBy>
  <dcterms:modified xsi:type="dcterms:W3CDTF">2026-01-28T12:27:35Z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A852483FE1419EE3F92578698A0C6FC3</vt:lpwstr>
  </property>
</Properties>
</file>