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8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上海市长宁区人民调解协会2023年度监事长工作报告</w:t>
      </w:r>
    </w:p>
    <w:p w14:paraId="5E96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赵文旗</w:t>
      </w:r>
      <w:bookmarkStart w:id="0" w:name="_GoBack"/>
      <w:bookmarkEnd w:id="0"/>
    </w:p>
    <w:p w14:paraId="4DB2F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（一）年度工作概述​</w:t>
      </w:r>
    </w:p>
    <w:p w14:paraId="41F6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过去一年，监事会在理事会的支持与配合下，严格遵循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协会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《章程》及相关法律法规，全年共召开监事会会议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次，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列席理事会会议2次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，保障协会合法合规运营、维护会员及相关方合法权益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针对协会财务收支、重大决策执行、内部管理制度落实等关键领域进行了全面监督，有效防范了运营风险，为协会健康稳定发展提供了坚实保障。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​</w:t>
      </w:r>
    </w:p>
    <w:p w14:paraId="6FC7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（二）具体监督工作开展情况​</w:t>
      </w:r>
    </w:p>
    <w:p w14:paraId="28AD1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财务监督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​</w:t>
      </w:r>
    </w:p>
    <w:p w14:paraId="2263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监事会对协会年度财务预算执行情况、财务收支明细、财务报表真实性与合规性进行了严格审查。通过查阅财务凭证、核对银行流水、检查票据管理等方式，确认协会财务工作符合国家财经法规及协会财务管理制度要求，未发现截留、挤占、挪用资金等违规行为。同时，重点关注了专项调解资金、会员会费的使用情况，确保资金专款专用，使用效益最大化。</w:t>
      </w:r>
    </w:p>
    <w:p w14:paraId="2599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重大决策监督​</w:t>
      </w:r>
    </w:p>
    <w:p w14:paraId="2F8C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密切关注协会重大决策的制定与执行过程，包括协会发展规划调整、重要人事任免、重大项目合作、规章制度修订等。在决策前，监事会积极收集会员意见及相关行业信息，为决策提供参考；决策过程中，监督是否遵循民主决策程序，是否充分保障会员的知情权、参与权和监督权；决策执行后，跟踪检查执行进度与效果，确保决策落地见效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协会所有重大决策均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经监事会监督，均符合章程规定及民主程序，且执行情况良好，未出现决策失误或执行偏差问题。​</w:t>
      </w:r>
    </w:p>
    <w:p w14:paraId="7847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内部管理监督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​</w:t>
      </w:r>
    </w:p>
    <w:p w14:paraId="1B19C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对协会内部管理制度的建立、完善及执行情况进行了全面检查，涵盖人员管理、业务操作、档案管理、保密工作等方面。检查发现，协会已建立较为完善的内部管理制度体系，但在部分制度的执行层面存在一定漏洞，如人员考勤制度执行不够严格、业务档案归档不够及时等。针对这些问题，监事会已向协会管理层提出整改意见，并督促相关部门限期整改，目前整改工作已取得阶段性成效。​</w:t>
      </w:r>
    </w:p>
    <w:p w14:paraId="1281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4、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履职监督​</w:t>
      </w:r>
    </w:p>
    <w:p w14:paraId="415C3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监督理事会成员及协会工作人员履行职责情况，重点检查是否存在不作为、乱作为、滥用职权等行为。通过座谈会、个别访谈等方式，广泛收集会员及服务对象对协会工作的意见和建议。经调查，理事会成员及大部分工作人员能够认真履行职责，积极为会员提供服务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4FB5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（三）存在的问题与不足​</w:t>
      </w:r>
    </w:p>
    <w:p w14:paraId="6605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监督力度有待进一步加强​</w:t>
      </w:r>
    </w:p>
    <w:p w14:paraId="3C57F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在日常监督工作中，部分监督检查项目存在流于形式的情况，对一些潜在的风险点挖掘不够深入，监督的针对性和有效性有待提升。</w:t>
      </w:r>
    </w:p>
    <w:p w14:paraId="64153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监督方式较为单一​</w:t>
      </w:r>
    </w:p>
    <w:p w14:paraId="147F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目前监事会主要采用定期检查、查阅资料等传统监督方式，缺乏信息化、智能化的监督手段，难以实现对协会运营情况的实时动态监督。​</w:t>
      </w:r>
    </w:p>
    <w:p w14:paraId="6514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（四）下一年度工作改进计划​</w:t>
      </w:r>
    </w:p>
    <w:p w14:paraId="13E8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强化监督力度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​</w:t>
      </w:r>
    </w:p>
    <w:p w14:paraId="4FA4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制定更加详细、具体的监督工作计划，明确监督重点和标准，加强对重点领域、关键环节的监督检查，深入挖掘潜在风险点，确保监督工作落到实处。建立监督检查结果反馈与整改跟踪机制，对发现的问题及时督促整改，对整改不力的部门和个人进行问责。​</w:t>
      </w:r>
    </w:p>
    <w:p w14:paraId="30F54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创新监督方式​</w:t>
      </w:r>
    </w:p>
    <w:p w14:paraId="2F77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积极探索信息化监督手段，利用大数据、云计算等技术，建立协会运营数据监测平台，实现对财务收支、业务开展、人员履职等情况的实时动态监督。同时，加强与会员、服务对象的沟通交流，拓宽监督信息获取渠道，充分发挥社会监督的作用。​</w:t>
      </w:r>
    </w:p>
    <w:p w14:paraId="1539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57384"/>
    <w:rsid w:val="00815106"/>
    <w:rsid w:val="05465FAD"/>
    <w:rsid w:val="2B791703"/>
    <w:rsid w:val="3DD5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1292</Words>
  <Characters>1295</Characters>
  <Lines>0</Lines>
  <Paragraphs>0</Paragraphs>
  <TotalTime>1</TotalTime>
  <ScaleCrop>false</ScaleCrop>
  <LinksUpToDate>false</LinksUpToDate>
  <CharactersWithSpaces>1295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2025-09-02T06:04:00Z</dcterms:created>
  <dc:creator>Administrator</dc:creator>
  <cp:lastModifiedBy>Administrator</cp:lastModifiedBy>
  <dcterms:modified xsi:type="dcterms:W3CDTF">2025-09-02T06:56:43Z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7C1DA226E5C84116A77A1945E0EDC8B7_13</vt:lpwstr>
  </property>
  <property fmtid="{D5CDD505-2E9C-101B-9397-08002B2CF9AE}" pid="4" name="KSOTemplateDocerSaveRecord">
    <vt:lpwstr>eyJoZGlkIjoiOTdiOTMzOTM0OTIyZGEzMGY2ZWJhNjhhYjAyMmNkMjAifQ==</vt:lpwstr>
  </property>
</Properties>
</file>