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231F20"/>
          <w:kern w:val="0"/>
          <w:sz w:val="40"/>
          <w:szCs w:val="40"/>
          <w:lang w:bidi="ar"/>
        </w:rPr>
      </w:pPr>
      <w:bookmarkStart w:id="0" w:name="_GoBack"/>
      <w:bookmarkEnd w:id="0"/>
      <w:r>
        <w:rPr>
          <w:rFonts w:hint="eastAsia" w:ascii="方正小标宋简体" w:hAnsi="方正小标宋简体" w:eastAsia="方正小标宋简体" w:cs="方正小标宋简体"/>
          <w:color w:val="231F20"/>
          <w:kern w:val="0"/>
          <w:sz w:val="40"/>
          <w:szCs w:val="40"/>
          <w:lang w:bidi="ar"/>
        </w:rPr>
        <w:t>关于</w:t>
      </w:r>
      <w:r>
        <w:rPr>
          <w:rFonts w:hint="eastAsia" w:ascii="方正小标宋简体" w:hAnsi="方正小标宋简体" w:eastAsia="方正小标宋简体" w:cs="方正小标宋简体"/>
          <w:color w:val="231F20"/>
          <w:kern w:val="0"/>
          <w:sz w:val="40"/>
          <w:szCs w:val="40"/>
          <w:lang w:eastAsia="zh-CN" w:bidi="ar"/>
        </w:rPr>
        <w:t>《上海市长宁区关于依法处置市场监管领域牟利性职业索赔行为实施意见（草案）》</w:t>
      </w:r>
      <w:r>
        <w:rPr>
          <w:rFonts w:hint="eastAsia" w:ascii="方正小标宋简体" w:hAnsi="方正小标宋简体" w:eastAsia="方正小标宋简体" w:cs="方正小标宋简体"/>
          <w:color w:val="231F20"/>
          <w:kern w:val="0"/>
          <w:sz w:val="40"/>
          <w:szCs w:val="40"/>
          <w:lang w:bidi="ar"/>
        </w:rPr>
        <w:t>制定背景说明</w:t>
      </w:r>
    </w:p>
    <w:p>
      <w:pPr>
        <w:pageBreakBefore w:val="0"/>
        <w:kinsoku/>
        <w:wordWrap/>
        <w:overflowPunct/>
        <w:topLinePunct w:val="0"/>
        <w:autoSpaceDE/>
        <w:autoSpaceDN/>
        <w:bidi w:val="0"/>
        <w:jc w:val="center"/>
        <w:rPr>
          <w:rFonts w:hint="eastAsia" w:ascii="仿宋_GB2312" w:hAnsi="仿宋_GB2312" w:eastAsia="仿宋_GB2312" w:cs="仿宋_GB2312"/>
          <w:kern w:val="2"/>
          <w:sz w:val="32"/>
          <w:szCs w:val="40"/>
          <w:lang w:val="en-US" w:eastAsia="zh-CN" w:bidi="ar-SA"/>
        </w:rPr>
      </w:pP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default"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一、文件制定背景</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近年来，在食品、药品、质量、广告宣传等市场监管领域，“以打假为名、行牟利之实”的牟利性职业索赔群体不断壮大，并呈现团伙化、专业化、规模化、程式化的特征和趋势，其活跃场所也逐步从线下向大型电商平台等线上市场转移，投诉举报量持续上升，严重困扰企业正常的生产经营秩序、影响营商环境，企业、基层市场监管部门以及部分政协委员、人大代表等社会各界反映强烈。同时，一些牟利性职业索赔人滥用投诉举报、信息公开、复议诉讼、纪检监察、信访等权利，大量挤占有限的行政资源和司法资源，甚至将之作为向市场主体敲诈勒索和向市场监管部门骚扰施压的手段，严重背离了《消费者权益保护法》《食品安全法》《药品管理法》等有关惩罚性赔偿制度的立法初衷。在食品、广告等领域，甚至出现“造假”式的索赔和举报行为，已涉嫌构成违法犯罪。牟利性职业索赔行为已成为破坏良好营商环境、市场环境、消费环境和社会诚信的因素之一，亟需予以规制。</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因此，为依法保护消费者合法权益和经营者合法利益，统筹维护营商环境和消费环境，规制牟利性职业索赔行为，长宁区市场监管局起草了《上海市长宁区关于依法处置市场监管领域牟利性职业索赔行为实施意见（草案）》（以下简称《实施意见（草案）》）。</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default"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二、文件主要内容</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实施意见（草案）》）根据《消费者权益保护法》《行政处罚法》《消费者权益保护法实施条例》《优化营商环境条例》《上海市消费者权益保护条例》《上海市社会信用条例》《市场监督管理投诉举报处理暂行办法》《国务院办公厅关于促进平台经济规范健康发展的指导意见》等法律、法规、规章和文件精神制定。包括总体要求、认定牟利性职业索赔行为的考量因素、对牟利性职业索赔类投诉举报的处理方式、对牟利性职业索赔的处置措施、落实牟利性职业索赔行为组织保障、工作要求、施行日期和有效期七个方面。</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3"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（一）依法处置市场监管领域牟利性职业索赔行为的总体要求。</w:t>
      </w:r>
      <w:r>
        <w:rPr>
          <w:rFonts w:hint="eastAsia" w:ascii="仿宋_GB2312" w:hAnsi="仿宋_GB2312" w:eastAsia="仿宋_GB2312" w:cs="仿宋_GB2312"/>
          <w:kern w:val="2"/>
          <w:sz w:val="32"/>
          <w:szCs w:val="40"/>
          <w:lang w:val="en-US" w:eastAsia="zh-CN" w:bidi="ar-SA"/>
        </w:rPr>
        <w:t>即坚持依法行政、突出分类管理、强化综合治理、倡导诚实信用。</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3"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（二）认定牟利性职业索赔行为的考量因素。</w:t>
      </w:r>
      <w:r>
        <w:rPr>
          <w:rFonts w:hint="eastAsia" w:ascii="仿宋_GB2312" w:hAnsi="仿宋_GB2312" w:eastAsia="仿宋_GB2312" w:cs="仿宋_GB2312"/>
          <w:kern w:val="2"/>
          <w:sz w:val="32"/>
          <w:szCs w:val="40"/>
          <w:lang w:val="en-US" w:eastAsia="zh-CN" w:bidi="ar-SA"/>
        </w:rPr>
        <w:t>明确了</w:t>
      </w:r>
      <w:r>
        <w:rPr>
          <w:rFonts w:hint="eastAsia" w:ascii="仿宋_GB2312" w:hAnsi="宋体" w:eastAsia="仿宋_GB2312"/>
          <w:sz w:val="30"/>
          <w:szCs w:val="30"/>
        </w:rPr>
        <w:t>牟利性职业索赔行为</w:t>
      </w:r>
      <w:r>
        <w:rPr>
          <w:rFonts w:hint="eastAsia" w:ascii="仿宋_GB2312" w:hAnsi="仿宋_GB2312" w:eastAsia="仿宋_GB2312" w:cs="仿宋_GB2312"/>
          <w:kern w:val="2"/>
          <w:sz w:val="32"/>
          <w:szCs w:val="40"/>
          <w:lang w:val="en-US" w:eastAsia="zh-CN" w:bidi="ar-SA"/>
        </w:rPr>
        <w:t>的定义。建立牟利性职业索赔行为综合认定制度，以列举加概括的形式，列明了11项具体的特征描述，通过综合各方面因素综合判断和甄别是否属于牟利性职业索赔行为。</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3"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（三）对牟利性职业索赔类投诉举报的处理方式。</w:t>
      </w:r>
      <w:r>
        <w:rPr>
          <w:rFonts w:hint="eastAsia" w:ascii="仿宋_GB2312" w:hAnsi="仿宋_GB2312" w:eastAsia="仿宋_GB2312" w:cs="仿宋_GB2312"/>
          <w:kern w:val="2"/>
          <w:sz w:val="32"/>
          <w:szCs w:val="40"/>
          <w:lang w:val="en-US" w:eastAsia="zh-CN" w:bidi="ar-SA"/>
        </w:rPr>
        <w:t>明确了对牟利性职业索赔类投诉举报的处置标准。对投诉事项要依法把好受理关口；对举报事项要认真核查处置，要坚持包容审慎监管，深化精细化执法，坚持“处罚与教育相结合”、“过罚相当”等原则，结合违法原因、违法情节、主观过错、危害程度以及改正情况等因素综合定性，用好自由裁量规则，全面落实市场监管领域“不罚”、“减罚”制度，依法用好警告、责令整改等手段。</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3"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（四）对牟利性职业索赔的处置措施。</w:t>
      </w:r>
      <w:r>
        <w:rPr>
          <w:rFonts w:hint="eastAsia" w:ascii="仿宋_GB2312" w:hAnsi="仿宋_GB2312" w:eastAsia="仿宋_GB2312" w:cs="仿宋_GB2312"/>
          <w:kern w:val="2"/>
          <w:sz w:val="32"/>
          <w:szCs w:val="40"/>
          <w:lang w:val="en-US" w:eastAsia="zh-CN" w:bidi="ar-SA"/>
        </w:rPr>
        <w:t>即支持维权、发布预警提示、推进行刑衔接、加强联合惩戒以及建立长宁区投诉举报异常名录。经综合研判分析，将符合牟利性职业索赔主要特征的投诉举报人列入投诉举报异常名录，作为长宁区依法处置市场监管领域牟利性职业索赔行为的基础。</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3"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（五）落实牟利性职业索赔行为组织保障。</w:t>
      </w:r>
      <w:r>
        <w:rPr>
          <w:rFonts w:hint="eastAsia" w:ascii="仿宋_GB2312" w:hAnsi="仿宋_GB2312" w:eastAsia="仿宋_GB2312" w:cs="仿宋_GB2312"/>
          <w:kern w:val="2"/>
          <w:sz w:val="32"/>
          <w:szCs w:val="40"/>
          <w:lang w:val="en-US" w:eastAsia="zh-CN" w:bidi="ar-SA"/>
        </w:rPr>
        <w:t>成立长宁区依法处置牟利性职业索赔联合规制工作小组，由区市场监管局等部门组成，在区政府的领导下加强对本区依法处置牟利性职业索赔工作的组织领导和指导、研究并推进本区依法处置牟利性职业索赔工作的重大政策措施、协调解决本区依法处置牟利性职业索赔工作中的重大问题和重大事件、加强本区各部门在依法处置牟利性职业索赔工作方面的协作配合等。</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3"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（六）工作要求。</w:t>
      </w:r>
      <w:r>
        <w:rPr>
          <w:rFonts w:hint="eastAsia" w:ascii="仿宋_GB2312" w:hAnsi="仿宋_GB2312" w:eastAsia="仿宋_GB2312" w:cs="仿宋_GB2312"/>
          <w:kern w:val="2"/>
          <w:sz w:val="32"/>
          <w:szCs w:val="40"/>
          <w:lang w:val="en-US" w:eastAsia="zh-CN" w:bidi="ar-SA"/>
        </w:rPr>
        <w:t>一是加强组织领导。要做好汇报沟通和信息宣传等工作，积极争取上级部门和社会各界的理解支持。要坚持一盘棋思想，既各司其职、各负其责，又相互配合,确保牟利性职业索赔规制有方向、有章法、有力量。二是加强跨部门协作。建立信息共享机制，实现投诉举报异常名录信息以及相关投诉举报、行政处罚工作信息的互联互通与共享应用。建立通报会商机制，及时通报牟利性职业索赔联合规制工作推进情况，共同研判工作形势，协调跨部门重大事项，研究规制措施综合运用。建立协作共治机制，在日常联动工作中聚焦源头治理，一体推进对牟利性职业索赔处置措施落地落实，形成全区规制牟利性职业索赔合力。三是加大宣传力度。加大对经营者的宣传培训，强化对违法企业的监督指导，鼓励企业运用法律手段直面牟利性职业索赔群体，加大对牟利性职业索赔刑事犯罪案件典型案例的宣传力度，在全社会形成对牟利性职业索赔行为人人抵制的氛围。</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firstLine="643" w:firstLineChars="200"/>
        <w:jc w:val="both"/>
        <w:textAlignment w:val="baseline"/>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（七）施行日期和有效期。</w:t>
      </w:r>
      <w:r>
        <w:rPr>
          <w:rFonts w:hint="eastAsia" w:ascii="仿宋_GB2312" w:hAnsi="仿宋_GB2312" w:eastAsia="仿宋_GB2312" w:cs="仿宋_GB2312"/>
          <w:kern w:val="2"/>
          <w:sz w:val="32"/>
          <w:szCs w:val="40"/>
          <w:lang w:val="en-US" w:eastAsia="zh-CN" w:bidi="ar-SA"/>
        </w:rPr>
        <w:t>规定文件的施行时间和有效期。</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YjhhZGI3MDI0YzlmNjI1YjAxMjE1MWIwYmY2NTIifQ=="/>
  </w:docVars>
  <w:rsids>
    <w:rsidRoot w:val="BEFD82BF"/>
    <w:rsid w:val="021C6DFE"/>
    <w:rsid w:val="068F3712"/>
    <w:rsid w:val="0AD64E67"/>
    <w:rsid w:val="0B1A77EE"/>
    <w:rsid w:val="0BD79CF0"/>
    <w:rsid w:val="0BE67BA2"/>
    <w:rsid w:val="0D181FDD"/>
    <w:rsid w:val="0D2D7B84"/>
    <w:rsid w:val="0EE04D7C"/>
    <w:rsid w:val="10D164ED"/>
    <w:rsid w:val="10DF6E84"/>
    <w:rsid w:val="114A6277"/>
    <w:rsid w:val="11565E5D"/>
    <w:rsid w:val="12F56BD0"/>
    <w:rsid w:val="139B0557"/>
    <w:rsid w:val="15A77273"/>
    <w:rsid w:val="17EF8CF3"/>
    <w:rsid w:val="18EA7EE8"/>
    <w:rsid w:val="1A4076D1"/>
    <w:rsid w:val="1BBF3885"/>
    <w:rsid w:val="1C192582"/>
    <w:rsid w:val="1C2C6109"/>
    <w:rsid w:val="1EBD5A6D"/>
    <w:rsid w:val="216259EA"/>
    <w:rsid w:val="23A979DB"/>
    <w:rsid w:val="255B2F57"/>
    <w:rsid w:val="287C121A"/>
    <w:rsid w:val="2AFE8727"/>
    <w:rsid w:val="2BE73785"/>
    <w:rsid w:val="2D452523"/>
    <w:rsid w:val="2DCD6442"/>
    <w:rsid w:val="2FC369D1"/>
    <w:rsid w:val="326D4F1E"/>
    <w:rsid w:val="326F018E"/>
    <w:rsid w:val="366D5EF5"/>
    <w:rsid w:val="36C5227C"/>
    <w:rsid w:val="36FF3503"/>
    <w:rsid w:val="38F259A0"/>
    <w:rsid w:val="3AEF628C"/>
    <w:rsid w:val="3C2C3893"/>
    <w:rsid w:val="3C53008C"/>
    <w:rsid w:val="3D8F1598"/>
    <w:rsid w:val="3DB71BA1"/>
    <w:rsid w:val="3DBFEA06"/>
    <w:rsid w:val="3F1B1335"/>
    <w:rsid w:val="3F94536A"/>
    <w:rsid w:val="3FBF51FA"/>
    <w:rsid w:val="3FFD75D7"/>
    <w:rsid w:val="41B12586"/>
    <w:rsid w:val="42690A15"/>
    <w:rsid w:val="44F1580E"/>
    <w:rsid w:val="45A73923"/>
    <w:rsid w:val="47AB52F6"/>
    <w:rsid w:val="47BC742D"/>
    <w:rsid w:val="47ED3D45"/>
    <w:rsid w:val="48FA399B"/>
    <w:rsid w:val="496B1D6F"/>
    <w:rsid w:val="49780AF1"/>
    <w:rsid w:val="4AA25D90"/>
    <w:rsid w:val="4DA150FB"/>
    <w:rsid w:val="4E870C9F"/>
    <w:rsid w:val="4F061331"/>
    <w:rsid w:val="51121E6C"/>
    <w:rsid w:val="51FC4FF6"/>
    <w:rsid w:val="520644D8"/>
    <w:rsid w:val="540E7126"/>
    <w:rsid w:val="543F5116"/>
    <w:rsid w:val="57AA19F6"/>
    <w:rsid w:val="58071EB6"/>
    <w:rsid w:val="597AE210"/>
    <w:rsid w:val="59B95BCC"/>
    <w:rsid w:val="59BF3DAF"/>
    <w:rsid w:val="59F209C7"/>
    <w:rsid w:val="5C0F5926"/>
    <w:rsid w:val="5CD75A8B"/>
    <w:rsid w:val="5CE60D7D"/>
    <w:rsid w:val="5DCA44C8"/>
    <w:rsid w:val="5DF5BFD3"/>
    <w:rsid w:val="5F3FD805"/>
    <w:rsid w:val="5F7025B7"/>
    <w:rsid w:val="5F97A512"/>
    <w:rsid w:val="5FFEFD52"/>
    <w:rsid w:val="60372CB7"/>
    <w:rsid w:val="64A77044"/>
    <w:rsid w:val="6797F394"/>
    <w:rsid w:val="67C65A33"/>
    <w:rsid w:val="69392AF5"/>
    <w:rsid w:val="6B4776A5"/>
    <w:rsid w:val="6BB107A8"/>
    <w:rsid w:val="6C937EAD"/>
    <w:rsid w:val="6FFE00F3"/>
    <w:rsid w:val="710C47A1"/>
    <w:rsid w:val="7161108B"/>
    <w:rsid w:val="71A72606"/>
    <w:rsid w:val="72DD7342"/>
    <w:rsid w:val="72F53670"/>
    <w:rsid w:val="73FC8D54"/>
    <w:rsid w:val="740A2C53"/>
    <w:rsid w:val="753A180E"/>
    <w:rsid w:val="75913D54"/>
    <w:rsid w:val="75F77608"/>
    <w:rsid w:val="75FCC013"/>
    <w:rsid w:val="7737B5B9"/>
    <w:rsid w:val="77BF51A1"/>
    <w:rsid w:val="786C1451"/>
    <w:rsid w:val="79FD402C"/>
    <w:rsid w:val="7AFB8AA4"/>
    <w:rsid w:val="7B211371"/>
    <w:rsid w:val="7BFC2FB2"/>
    <w:rsid w:val="7DECAFB9"/>
    <w:rsid w:val="7E7652CC"/>
    <w:rsid w:val="7EE56F5F"/>
    <w:rsid w:val="7F7E660D"/>
    <w:rsid w:val="7FABD63A"/>
    <w:rsid w:val="7FDFD510"/>
    <w:rsid w:val="7FF77345"/>
    <w:rsid w:val="8479DCD0"/>
    <w:rsid w:val="98BD3285"/>
    <w:rsid w:val="A08D3407"/>
    <w:rsid w:val="AB9B7B59"/>
    <w:rsid w:val="B16BD645"/>
    <w:rsid w:val="B6EECBC0"/>
    <w:rsid w:val="B9EF2F5F"/>
    <w:rsid w:val="BBFE8D1E"/>
    <w:rsid w:val="BEFD82BF"/>
    <w:rsid w:val="BFCDD811"/>
    <w:rsid w:val="D7FE4999"/>
    <w:rsid w:val="DBFBDB8C"/>
    <w:rsid w:val="DCAFA004"/>
    <w:rsid w:val="DDD94EAD"/>
    <w:rsid w:val="DFF3B7F0"/>
    <w:rsid w:val="DFFD6C8A"/>
    <w:rsid w:val="DFFFE76F"/>
    <w:rsid w:val="E26B695D"/>
    <w:rsid w:val="E3FE6FAA"/>
    <w:rsid w:val="E59FB96E"/>
    <w:rsid w:val="EDF7AA23"/>
    <w:rsid w:val="F2B05D53"/>
    <w:rsid w:val="F2CD8437"/>
    <w:rsid w:val="F765FB2F"/>
    <w:rsid w:val="F9E94409"/>
    <w:rsid w:val="FB7D8086"/>
    <w:rsid w:val="FBB70F29"/>
    <w:rsid w:val="FBB92950"/>
    <w:rsid w:val="FD8E7AAB"/>
    <w:rsid w:val="FDF9D3B6"/>
    <w:rsid w:val="FF1F7739"/>
    <w:rsid w:val="FF77AF3A"/>
    <w:rsid w:val="FFF6FC0C"/>
    <w:rsid w:val="FFFF9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Indent"/>
    <w:basedOn w:val="1"/>
    <w:next w:val="4"/>
    <w:qFormat/>
    <w:uiPriority w:val="0"/>
    <w:pPr>
      <w:spacing w:after="120"/>
      <w:ind w:left="420" w:leftChars="200"/>
    </w:pPr>
  </w:style>
  <w:style w:type="paragraph" w:styleId="6">
    <w:name w:val="Body Text 2"/>
    <w:basedOn w:val="1"/>
    <w:next w:val="7"/>
    <w:qFormat/>
    <w:uiPriority w:val="0"/>
    <w:pPr>
      <w:widowControl w:val="0"/>
      <w:ind w:firstLine="1840"/>
      <w:jc w:val="both"/>
    </w:pPr>
    <w:rPr>
      <w:rFonts w:hint="default" w:ascii="Times New Roman" w:hAnsi="Times New Roman" w:eastAsia="宋体" w:cs="Times New Roman"/>
      <w:kern w:val="2"/>
      <w:sz w:val="21"/>
      <w:szCs w:val="24"/>
      <w:lang w:val="en-US" w:eastAsia="zh-CN" w:bidi="ar-SA"/>
    </w:rPr>
  </w:style>
  <w:style w:type="paragraph" w:styleId="7">
    <w:name w:val="Body Text First Indent 2"/>
    <w:basedOn w:val="5"/>
    <w:next w:val="1"/>
    <w:qFormat/>
    <w:uiPriority w:val="0"/>
    <w:pPr>
      <w:ind w:firstLine="420" w:firstLineChars="200"/>
    </w:pPr>
    <w:rPr>
      <w:rFonts w:ascii="Calibri" w:hAnsi="Calibri"/>
      <w:szCs w:val="22"/>
    </w:rPr>
  </w:style>
  <w:style w:type="paragraph" w:customStyle="1" w:styleId="10">
    <w:name w:val="BodyText1I2"/>
    <w:basedOn w:val="11"/>
    <w:qFormat/>
    <w:uiPriority w:val="0"/>
    <w:pPr>
      <w:spacing w:after="120" w:afterLines="0"/>
      <w:ind w:left="420" w:leftChars="200" w:firstLine="420" w:firstLineChars="200"/>
      <w:jc w:val="both"/>
      <w:textAlignment w:val="baseline"/>
    </w:pPr>
  </w:style>
  <w:style w:type="paragraph" w:customStyle="1" w:styleId="11">
    <w:name w:val="BodyTextIndent"/>
    <w:basedOn w:val="1"/>
    <w:qFormat/>
    <w:uiPriority w:val="0"/>
    <w:pPr>
      <w:spacing w:after="120" w:afterLines="0"/>
      <w:ind w:left="420" w:leftChars="20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2134</Words>
  <Characters>2157</Characters>
  <Lines>0</Lines>
  <Paragraphs>0</Paragraphs>
  <TotalTime>3.66666666666667</TotalTime>
  <ScaleCrop>false</ScaleCrop>
  <LinksUpToDate>false</LinksUpToDate>
  <CharactersWithSpaces>2157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2023-04-22T03:09:00Z</dcterms:created>
  <dc:creator>user</dc:creator>
  <cp:lastModifiedBy>user</cp:lastModifiedBy>
  <dcterms:modified xsi:type="dcterms:W3CDTF">2024-09-19T10:44:49Z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1F10361F914E4162B59AF95305C91035_12</vt:lpwstr>
  </property>
</Properties>
</file>