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b/>
          <w:sz w:val="36"/>
          <w:szCs w:val="36"/>
        </w:rPr>
        <w:t>2018年《联盟计划—难题招标专项》</w:t>
      </w:r>
    </w:p>
    <w:p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招标公告</w:t>
      </w:r>
    </w:p>
    <w:p>
      <w:pPr>
        <w:spacing w:line="360" w:lineRule="auto"/>
        <w:ind w:firstLine="560" w:firstLineChars="200"/>
        <w:rPr>
          <w:rFonts w:ascii="楷体_GB2312" w:eastAsia="楷体_GB2312"/>
          <w:sz w:val="28"/>
          <w:szCs w:val="28"/>
        </w:rPr>
      </w:pPr>
    </w:p>
    <w:p>
      <w:pPr>
        <w:spacing w:line="360" w:lineRule="auto"/>
        <w:ind w:firstLine="602" w:firstLineChars="200"/>
        <w:rPr>
          <w:rFonts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各有关单位：</w:t>
      </w:r>
    </w:p>
    <w:p>
      <w:pPr>
        <w:spacing w:line="360" w:lineRule="auto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为充分发挥高校、科研院所等有关单位在人才集聚、科研成果积累、试验设备集中的优势，</w:t>
      </w:r>
      <w:r>
        <w:rPr>
          <w:rFonts w:hint="eastAsia" w:ascii="楷体_GB2312" w:eastAsia="楷体_GB2312"/>
          <w:color w:val="000000"/>
          <w:sz w:val="30"/>
          <w:szCs w:val="30"/>
        </w:rPr>
        <w:t>通过产学研合作突破关键技术，提升企业研发能力和专业配套能力，</w:t>
      </w:r>
      <w:r>
        <w:rPr>
          <w:rFonts w:hint="eastAsia" w:ascii="楷体_GB2312" w:eastAsia="楷体_GB2312"/>
          <w:sz w:val="30"/>
          <w:szCs w:val="30"/>
        </w:rPr>
        <w:t>帮助中小微企业，解决在发展过程中的技术难题，特举办2018年《联盟计划—难题招标专项》活动。有关事项如下：</w:t>
      </w:r>
    </w:p>
    <w:p>
      <w:pPr>
        <w:spacing w:line="360" w:lineRule="auto"/>
        <w:ind w:firstLine="600" w:firstLineChars="200"/>
        <w:rPr>
          <w:rFonts w:ascii="楷体_GB2312" w:eastAsia="楷体_GB2312"/>
          <w:sz w:val="30"/>
          <w:szCs w:val="30"/>
        </w:rPr>
      </w:pPr>
    </w:p>
    <w:p>
      <w:pPr>
        <w:spacing w:line="360" w:lineRule="auto"/>
        <w:ind w:firstLine="602" w:firstLineChars="200"/>
        <w:rPr>
          <w:rFonts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一、征集范围及条件</w:t>
      </w:r>
    </w:p>
    <w:p>
      <w:pPr>
        <w:spacing w:line="360" w:lineRule="auto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>在本市登记注册，具有独立法人资格的科技型、创新型中小微企业、以寻求科技支撑的现代服务业企业，具有一定的科研基础和条件，并拥有相应的</w:t>
      </w:r>
      <w:r>
        <w:rPr>
          <w:rFonts w:hint="eastAsia" w:ascii="楷体_GB2312" w:eastAsia="楷体_GB2312"/>
          <w:sz w:val="30"/>
          <w:szCs w:val="30"/>
        </w:rPr>
        <w:t>科技研发资金者均可申报。申报项目应是企业发展中存在的技术难题，如调整产品结构、提高产品的技术能级、改进生产工艺等方面的技术难题。</w:t>
      </w:r>
    </w:p>
    <w:p>
      <w:pPr>
        <w:spacing w:line="360" w:lineRule="auto"/>
        <w:ind w:firstLine="600" w:firstLineChars="200"/>
        <w:rPr>
          <w:rFonts w:ascii="楷体_GB2312" w:eastAsia="楷体_GB2312"/>
          <w:sz w:val="30"/>
          <w:szCs w:val="30"/>
        </w:rPr>
      </w:pPr>
    </w:p>
    <w:p>
      <w:pPr>
        <w:spacing w:line="360" w:lineRule="auto"/>
        <w:ind w:firstLine="602" w:firstLineChars="200"/>
        <w:rPr>
          <w:rFonts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二、申报时间</w:t>
      </w:r>
    </w:p>
    <w:p>
      <w:pPr>
        <w:spacing w:line="360" w:lineRule="auto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>从即日起通过科促会网站发布</w:t>
      </w:r>
      <w:r>
        <w:rPr>
          <w:rFonts w:hint="eastAsia" w:ascii="楷体_GB2312" w:eastAsia="楷体_GB2312"/>
          <w:sz w:val="30"/>
          <w:szCs w:val="30"/>
        </w:rPr>
        <w:t>“难题招标公告”等信息，征集难题招标项目。</w:t>
      </w:r>
    </w:p>
    <w:p>
      <w:pPr>
        <w:spacing w:line="360" w:lineRule="auto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自公告之日起，至2018年3月23日截止。</w:t>
      </w:r>
    </w:p>
    <w:p>
      <w:pPr>
        <w:spacing w:line="360" w:lineRule="auto"/>
        <w:ind w:firstLine="600" w:firstLineChars="200"/>
        <w:rPr>
          <w:rFonts w:ascii="楷体_GB2312" w:eastAsia="楷体_GB2312"/>
          <w:sz w:val="30"/>
          <w:szCs w:val="30"/>
        </w:rPr>
      </w:pPr>
    </w:p>
    <w:p>
      <w:pPr>
        <w:spacing w:line="360" w:lineRule="auto"/>
        <w:ind w:firstLine="590" w:firstLineChars="196"/>
        <w:rPr>
          <w:rFonts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三、申报手续及方法</w:t>
      </w:r>
    </w:p>
    <w:p>
      <w:pPr>
        <w:spacing w:line="360" w:lineRule="auto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符合申报条件的项目单位，请登陆科促会</w:t>
      </w:r>
      <w:r>
        <w:fldChar w:fldCharType="begin"/>
      </w:r>
      <w:r>
        <w:instrText xml:space="preserve">HYPERLINK "http://www.tt91.com/" </w:instrText>
      </w:r>
      <w:r>
        <w:fldChar w:fldCharType="separate"/>
      </w:r>
      <w:r>
        <w:rPr>
          <w:rStyle w:val="8"/>
          <w:rFonts w:hint="eastAsia" w:ascii="楷体_GB2312" w:eastAsia="楷体_GB2312"/>
          <w:sz w:val="30"/>
          <w:szCs w:val="30"/>
        </w:rPr>
        <w:t>WWW.TT91.COM</w:t>
      </w:r>
      <w:r>
        <w:fldChar w:fldCharType="end"/>
      </w:r>
      <w:r>
        <w:rPr>
          <w:rFonts w:hint="eastAsia" w:ascii="楷体_GB2312" w:eastAsia="楷体_GB2312"/>
          <w:sz w:val="30"/>
          <w:szCs w:val="30"/>
        </w:rPr>
        <w:t>网</w:t>
      </w:r>
      <w:r>
        <w:rPr>
          <w:rFonts w:hint="eastAsia" w:ascii="楷体_GB2312" w:eastAsia="楷体_GB2312"/>
          <w:color w:val="000000"/>
          <w:sz w:val="30"/>
          <w:szCs w:val="30"/>
        </w:rPr>
        <w:t>站《联盟计划》栏目注册账号后，</w:t>
      </w:r>
      <w:r>
        <w:rPr>
          <w:rFonts w:hint="eastAsia" w:ascii="楷体_GB2312" w:eastAsia="楷体_GB2312"/>
          <w:sz w:val="30"/>
          <w:szCs w:val="30"/>
        </w:rPr>
        <w:t>填写2018年《联盟计划—难题招标专项》项目招标书，</w:t>
      </w:r>
      <w:r>
        <w:rPr>
          <w:rFonts w:hint="eastAsia" w:ascii="楷体_GB2312" w:eastAsia="楷体_GB2312"/>
          <w:color w:val="000000"/>
          <w:sz w:val="30"/>
          <w:szCs w:val="30"/>
        </w:rPr>
        <w:t>并</w:t>
      </w:r>
      <w:r>
        <w:rPr>
          <w:rFonts w:hint="eastAsia" w:ascii="楷体_GB2312" w:eastAsia="楷体_GB2312"/>
          <w:sz w:val="30"/>
          <w:szCs w:val="30"/>
        </w:rPr>
        <w:t>提交。同时，向科促会提交加盖企业公章的书面招标书一式三份,营业执照（正本或副本）的复印件一份。</w:t>
      </w:r>
    </w:p>
    <w:p>
      <w:pPr>
        <w:spacing w:line="360" w:lineRule="auto"/>
        <w:ind w:firstLine="602" w:firstLineChars="200"/>
        <w:rPr>
          <w:rFonts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注意事项：</w:t>
      </w:r>
    </w:p>
    <w:p>
      <w:pPr>
        <w:spacing w:line="360" w:lineRule="auto"/>
        <w:ind w:firstLine="602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1、</w:t>
      </w:r>
      <w:r>
        <w:rPr>
          <w:rFonts w:hint="eastAsia" w:ascii="楷体_GB2312" w:eastAsia="楷体_GB2312"/>
          <w:sz w:val="30"/>
          <w:szCs w:val="30"/>
        </w:rPr>
        <w:t>申报企业按“网上申报联盟计划项目步骤”进行操作（另文）。</w:t>
      </w:r>
    </w:p>
    <w:p>
      <w:pPr>
        <w:spacing w:line="360" w:lineRule="auto"/>
        <w:ind w:firstLine="584" w:firstLineChars="194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2、</w:t>
      </w:r>
      <w:r>
        <w:rPr>
          <w:rFonts w:hint="eastAsia" w:ascii="楷体_GB2312" w:eastAsia="楷体_GB2312"/>
          <w:sz w:val="30"/>
          <w:szCs w:val="30"/>
        </w:rPr>
        <w:t>申报企业向科促会提交书面招标书前，必须前往企业税务所在区县的科委，填写推荐意见并加盖公章。</w:t>
      </w:r>
    </w:p>
    <w:p>
      <w:pPr>
        <w:spacing w:line="360" w:lineRule="auto"/>
        <w:ind w:firstLine="582" w:firstLineChars="194"/>
        <w:rPr>
          <w:rFonts w:ascii="楷体_GB2312" w:hAnsi="宋体" w:eastAsia="楷体_GB2312"/>
          <w:color w:val="000000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3、</w:t>
      </w:r>
      <w:r>
        <w:rPr>
          <w:rFonts w:hint="eastAsia" w:ascii="楷体_GB2312" w:hAnsi="宋体" w:eastAsia="楷体_GB2312"/>
          <w:color w:val="000000"/>
          <w:sz w:val="30"/>
          <w:szCs w:val="30"/>
        </w:rPr>
        <w:t>同一家企业，在已立项的难题招标项目未结题验收前，不得申报新的难题招标项目。</w:t>
      </w:r>
    </w:p>
    <w:p>
      <w:pPr>
        <w:spacing w:line="360" w:lineRule="auto"/>
        <w:ind w:firstLine="582" w:firstLineChars="194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4、今年重点支持符合上海产业导向、区县经济定位、市专精特新、创业、创新项目；有行业优势和发展潜力的制造业和现代服务业项目。</w:t>
      </w:r>
    </w:p>
    <w:p>
      <w:pPr>
        <w:spacing w:line="360" w:lineRule="auto"/>
        <w:ind w:firstLine="584" w:firstLineChars="194"/>
        <w:rPr>
          <w:rFonts w:ascii="楷体_GB2312" w:eastAsia="楷体_GB2312"/>
          <w:b/>
          <w:color w:val="FF0000"/>
          <w:sz w:val="30"/>
          <w:szCs w:val="30"/>
        </w:rPr>
      </w:pPr>
    </w:p>
    <w:p>
      <w:pPr>
        <w:spacing w:line="360" w:lineRule="auto"/>
        <w:ind w:firstLine="602" w:firstLineChars="200"/>
        <w:rPr>
          <w:rFonts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四、资助标准及拨付</w:t>
      </w:r>
    </w:p>
    <w:p>
      <w:pPr>
        <w:spacing w:line="360" w:lineRule="auto"/>
        <w:ind w:firstLine="600" w:firstLineChars="200"/>
        <w:rPr>
          <w:rFonts w:ascii="楷体_GB2312" w:hAnsi="宋体" w:eastAsia="楷体_GB2312" w:cs="宋体"/>
          <w:color w:val="000000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根据《联盟计划-难题招标专项》管理办法，对确定资助的项目，给予一定的资助经费。</w:t>
      </w:r>
      <w:r>
        <w:rPr>
          <w:rFonts w:hint="eastAsia" w:ascii="楷体_GB2312" w:hAnsi="宋体" w:eastAsia="楷体_GB2312" w:cs="宋体"/>
          <w:sz w:val="30"/>
          <w:szCs w:val="30"/>
        </w:rPr>
        <w:t>每个项目的资助资金，</w:t>
      </w:r>
      <w:r>
        <w:rPr>
          <w:rFonts w:hint="eastAsia" w:ascii="楷体_GB2312" w:hAnsi="宋体" w:eastAsia="楷体_GB2312" w:cs="宋体"/>
          <w:color w:val="000000"/>
          <w:sz w:val="30"/>
          <w:szCs w:val="30"/>
        </w:rPr>
        <w:t>基本原则上为招标方承诺提供给投标单位科研经费的20%，但最高不超过10万人民币。</w:t>
      </w:r>
    </w:p>
    <w:p>
      <w:pPr>
        <w:spacing w:line="360" w:lineRule="auto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>资助资金分两次下达：首次在企业</w:t>
      </w:r>
      <w:r>
        <w:rPr>
          <w:rFonts w:hint="eastAsia" w:ascii="楷体_GB2312" w:eastAsia="楷体_GB2312"/>
          <w:sz w:val="30"/>
          <w:szCs w:val="30"/>
        </w:rPr>
        <w:t xml:space="preserve">支付50％的项目经费后，拨付50%；项目完成结题验收且企业支付余下50％的项目经费后，再拨付50%。 </w:t>
      </w:r>
    </w:p>
    <w:p>
      <w:pPr>
        <w:spacing w:line="360" w:lineRule="auto"/>
        <w:ind w:firstLine="600" w:firstLineChars="200"/>
        <w:rPr>
          <w:rFonts w:ascii="楷体_GB2312" w:eastAsia="楷体_GB2312"/>
          <w:sz w:val="30"/>
          <w:szCs w:val="30"/>
        </w:rPr>
      </w:pPr>
    </w:p>
    <w:p>
      <w:pPr>
        <w:spacing w:line="360" w:lineRule="auto"/>
        <w:ind w:firstLine="602" w:firstLineChars="200"/>
        <w:rPr>
          <w:rFonts w:hint="eastAsia" w:ascii="楷体_GB2312" w:hAnsi="宋体" w:eastAsia="楷体_GB2312" w:cs="宋体"/>
          <w:b/>
          <w:color w:val="000000"/>
          <w:kern w:val="0"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五、</w:t>
      </w:r>
      <w:r>
        <w:rPr>
          <w:rFonts w:hint="eastAsia" w:ascii="楷体_GB2312" w:hAnsi="宋体" w:eastAsia="楷体_GB2312" w:cs="宋体"/>
          <w:b/>
          <w:color w:val="000000"/>
          <w:kern w:val="0"/>
          <w:sz w:val="30"/>
          <w:szCs w:val="30"/>
        </w:rPr>
        <w:t>主管部门和联系方式</w:t>
      </w:r>
    </w:p>
    <w:p>
      <w:pPr>
        <w:widowControl/>
        <w:spacing w:line="270" w:lineRule="atLeast"/>
        <w:ind w:firstLine="640"/>
        <w:jc w:val="left"/>
        <w:rPr>
          <w:rFonts w:hint="eastAsia" w:ascii="楷体_GB2312" w:hAnsi="宋体" w:eastAsia="楷体_GB2312" w:cs="宋体"/>
          <w:color w:val="000000"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color w:val="000000"/>
          <w:kern w:val="0"/>
          <w:sz w:val="30"/>
          <w:szCs w:val="30"/>
        </w:rPr>
        <w:t>主管部门：</w:t>
      </w:r>
      <w:r>
        <w:rPr>
          <w:rFonts w:hint="eastAsia" w:ascii="楷体_GB2312" w:hAnsi="宋体" w:eastAsia="楷体_GB2312" w:cs="宋体"/>
          <w:bCs/>
          <w:color w:val="000000"/>
          <w:kern w:val="0"/>
          <w:sz w:val="30"/>
          <w:szCs w:val="30"/>
        </w:rPr>
        <w:t>上海科技成果转化促进会</w:t>
      </w:r>
    </w:p>
    <w:p>
      <w:pPr>
        <w:widowControl/>
        <w:spacing w:line="270" w:lineRule="atLeast"/>
        <w:ind w:firstLine="640"/>
        <w:rPr>
          <w:rFonts w:hint="eastAsia" w:ascii="楷体_GB2312" w:hAnsi="宋体" w:eastAsia="楷体_GB2312" w:cs="宋体"/>
          <w:color w:val="000000"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color w:val="000000"/>
          <w:kern w:val="0"/>
          <w:sz w:val="30"/>
          <w:szCs w:val="30"/>
        </w:rPr>
        <w:t>联系地址：</w:t>
      </w:r>
      <w:r>
        <w:rPr>
          <w:rFonts w:hint="eastAsia" w:ascii="楷体_GB2312" w:hAnsi="宋体" w:eastAsia="楷体_GB2312" w:cs="宋体"/>
          <w:bCs/>
          <w:color w:val="000000"/>
          <w:kern w:val="0"/>
          <w:sz w:val="30"/>
          <w:szCs w:val="30"/>
        </w:rPr>
        <w:t>上海科技成果转化促进会咨询部</w:t>
      </w:r>
      <w:r>
        <w:rPr>
          <w:rFonts w:hint="eastAsia" w:ascii="楷体_GB2312" w:hAnsi="宋体" w:eastAsia="楷体_GB2312" w:cs="宋体"/>
          <w:color w:val="000000"/>
          <w:kern w:val="0"/>
          <w:sz w:val="30"/>
          <w:szCs w:val="30"/>
        </w:rPr>
        <w:t>（上海市北京西路860号市政协综合楼603室）。</w:t>
      </w:r>
    </w:p>
    <w:p>
      <w:pPr>
        <w:widowControl/>
        <w:spacing w:line="270" w:lineRule="atLeast"/>
        <w:ind w:firstLine="640"/>
        <w:rPr>
          <w:rFonts w:ascii="楷体_GB2312" w:eastAsia="楷体_GB2312"/>
          <w:color w:val="000000"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color w:val="000000"/>
          <w:kern w:val="0"/>
          <w:sz w:val="30"/>
          <w:szCs w:val="30"/>
        </w:rPr>
        <w:t>联系人：李 里  联系电话：</w:t>
      </w:r>
      <w:r>
        <w:rPr>
          <w:rFonts w:hint="eastAsia" w:ascii="楷体_GB2312" w:eastAsia="楷体_GB2312"/>
          <w:color w:val="000000"/>
          <w:kern w:val="0"/>
          <w:sz w:val="30"/>
          <w:szCs w:val="30"/>
        </w:rPr>
        <w:t xml:space="preserve">23188493     62581716   </w:t>
      </w:r>
    </w:p>
    <w:p>
      <w:pPr>
        <w:widowControl/>
        <w:spacing w:line="270" w:lineRule="atLeast"/>
        <w:ind w:firstLine="2850" w:firstLineChars="950"/>
        <w:rPr>
          <w:rFonts w:hint="eastAsia" w:ascii="楷体_GB2312" w:hAnsi="宋体" w:eastAsia="楷体_GB2312" w:cs="宋体"/>
          <w:color w:val="000000"/>
          <w:kern w:val="0"/>
          <w:sz w:val="30"/>
          <w:szCs w:val="30"/>
        </w:rPr>
      </w:pPr>
      <w:r>
        <w:rPr>
          <w:rFonts w:hint="eastAsia" w:ascii="楷体_GB2312" w:eastAsia="楷体_GB2312"/>
          <w:color w:val="000000"/>
          <w:kern w:val="0"/>
          <w:sz w:val="30"/>
          <w:szCs w:val="30"/>
        </w:rPr>
        <w:t>邮箱：sanda0320@126.com</w:t>
      </w:r>
    </w:p>
    <w:p>
      <w:pPr>
        <w:widowControl/>
        <w:spacing w:line="270" w:lineRule="atLeast"/>
        <w:ind w:firstLine="640"/>
        <w:rPr>
          <w:rFonts w:hint="eastAsia" w:ascii="楷体_GB2312" w:hAnsi="宋体" w:eastAsia="楷体_GB2312" w:cs="宋体"/>
          <w:color w:val="000000"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color w:val="000000"/>
          <w:kern w:val="0"/>
          <w:sz w:val="30"/>
          <w:szCs w:val="30"/>
        </w:rPr>
        <w:t xml:space="preserve">网上申报技术支持联系人：胡 彬  联系电话：23188497 </w:t>
      </w:r>
    </w:p>
    <w:p>
      <w:pPr>
        <w:widowControl/>
        <w:spacing w:line="580" w:lineRule="exact"/>
        <w:ind w:firstLine="640"/>
        <w:rPr>
          <w:rFonts w:hint="eastAsia" w:ascii="楷体_GB2312" w:hAnsi="宋体" w:eastAsia="楷体_GB2312" w:cs="宋体"/>
          <w:color w:val="000000"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color w:val="000000"/>
          <w:kern w:val="0"/>
          <w:sz w:val="30"/>
          <w:szCs w:val="30"/>
        </w:rPr>
        <w:t>咨询时间：周一到周五  上午9:00-11:30  下午2:00-5:00</w:t>
      </w:r>
    </w:p>
    <w:p>
      <w:pPr>
        <w:spacing w:line="420" w:lineRule="exact"/>
        <w:ind w:firstLine="482" w:firstLineChars="200"/>
        <w:rPr>
          <w:rFonts w:ascii="楷体_GB2312" w:eastAsia="楷体_GB2312"/>
          <w:b/>
          <w:color w:val="000000"/>
          <w:sz w:val="24"/>
        </w:rPr>
      </w:pPr>
    </w:p>
    <w:p>
      <w:pPr>
        <w:spacing w:line="420" w:lineRule="exact"/>
        <w:ind w:firstLine="482" w:firstLineChars="200"/>
        <w:rPr>
          <w:rFonts w:ascii="楷体_GB2312" w:eastAsia="楷体_GB2312"/>
          <w:b/>
          <w:color w:val="000000"/>
          <w:sz w:val="24"/>
        </w:rPr>
      </w:pPr>
    </w:p>
    <w:p>
      <w:pPr>
        <w:spacing w:line="420" w:lineRule="exact"/>
        <w:ind w:firstLine="482" w:firstLineChars="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4"/>
        </w:rPr>
        <w:t>交通：</w:t>
      </w:r>
      <w:r>
        <w:rPr>
          <w:rFonts w:hint="eastAsia" w:ascii="楷体_GB2312" w:eastAsia="楷体_GB2312"/>
          <w:color w:val="000000"/>
          <w:sz w:val="24"/>
        </w:rPr>
        <w:t>15、21路公交电车；41、112、927、939、955路公交汽车(泰兴路站)及地铁2、12、13号线(南京西路站)均可到达。</w:t>
      </w:r>
    </w:p>
    <w:p>
      <w:pPr>
        <w:spacing w:line="360" w:lineRule="auto"/>
        <w:ind w:firstLine="376" w:firstLineChars="125"/>
        <w:jc w:val="right"/>
        <w:rPr>
          <w:rFonts w:ascii="楷体_GB2312" w:eastAsia="楷体_GB2312"/>
          <w:b/>
          <w:sz w:val="30"/>
          <w:szCs w:val="30"/>
        </w:rPr>
      </w:pPr>
    </w:p>
    <w:p>
      <w:pPr>
        <w:spacing w:line="360" w:lineRule="auto"/>
        <w:ind w:firstLine="376" w:firstLineChars="125"/>
        <w:jc w:val="right"/>
        <w:rPr>
          <w:rFonts w:ascii="楷体_GB2312" w:eastAsia="楷体_GB2312"/>
          <w:b/>
          <w:sz w:val="30"/>
          <w:szCs w:val="30"/>
        </w:rPr>
      </w:pPr>
    </w:p>
    <w:p>
      <w:pPr>
        <w:spacing w:line="360" w:lineRule="auto"/>
        <w:ind w:firstLine="376" w:firstLineChars="125"/>
        <w:jc w:val="right"/>
        <w:rPr>
          <w:rFonts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上海科技成果转化促进会</w:t>
      </w:r>
    </w:p>
    <w:p>
      <w:pPr>
        <w:spacing w:line="360" w:lineRule="auto"/>
        <w:ind w:firstLine="376" w:firstLineChars="125"/>
        <w:jc w:val="right"/>
        <w:rPr>
          <w:rFonts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上海市教育发展基金会</w:t>
      </w:r>
    </w:p>
    <w:p>
      <w:pPr>
        <w:spacing w:line="420" w:lineRule="exact"/>
        <w:ind w:right="25" w:rightChars="12" w:firstLine="376" w:firstLineChars="125"/>
        <w:jc w:val="right"/>
        <w:rPr>
          <w:rFonts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上海市促进科技成果转化基金会</w:t>
      </w:r>
    </w:p>
    <w:p>
      <w:pPr>
        <w:spacing w:line="420" w:lineRule="exact"/>
        <w:ind w:right="25" w:rightChars="12" w:firstLine="376" w:firstLineChars="125"/>
        <w:jc w:val="right"/>
        <w:rPr>
          <w:rFonts w:ascii="楷体_GB2312" w:eastAsia="楷体_GB2312"/>
          <w:b/>
          <w:sz w:val="30"/>
          <w:szCs w:val="30"/>
        </w:rPr>
      </w:pPr>
    </w:p>
    <w:p>
      <w:pPr>
        <w:spacing w:line="420" w:lineRule="exact"/>
        <w:ind w:right="25" w:rightChars="12" w:firstLine="376" w:firstLineChars="125"/>
        <w:jc w:val="righ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2018年1月1日</w:t>
      </w:r>
    </w:p>
    <w:sectPr>
      <w:footerReference r:id="rId4" w:type="default"/>
      <w:footerReference r:id="rId5" w:type="even"/>
      <w:pgSz w:w="11906" w:h="16838"/>
      <w:pgMar w:top="1701" w:right="1700" w:bottom="935" w:left="1701" w:header="851" w:footer="40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3</w:t>
    </w:r>
    <w:r>
      <w:rPr>
        <w:b/>
        <w:sz w:val="24"/>
        <w:szCs w:val="24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66316"/>
    <w:rsid w:val="00004632"/>
    <w:rsid w:val="00014FF5"/>
    <w:rsid w:val="00016304"/>
    <w:rsid w:val="0002469B"/>
    <w:rsid w:val="0002581F"/>
    <w:rsid w:val="0003264F"/>
    <w:rsid w:val="0003427A"/>
    <w:rsid w:val="00041B16"/>
    <w:rsid w:val="00045120"/>
    <w:rsid w:val="00045FD0"/>
    <w:rsid w:val="00052E20"/>
    <w:rsid w:val="0007415C"/>
    <w:rsid w:val="00082E22"/>
    <w:rsid w:val="00084919"/>
    <w:rsid w:val="00090CAB"/>
    <w:rsid w:val="00094CBE"/>
    <w:rsid w:val="0009709D"/>
    <w:rsid w:val="000A26A2"/>
    <w:rsid w:val="000A628F"/>
    <w:rsid w:val="000A6AAE"/>
    <w:rsid w:val="000B4CCD"/>
    <w:rsid w:val="000B4F2E"/>
    <w:rsid w:val="000B772E"/>
    <w:rsid w:val="000C7E7A"/>
    <w:rsid w:val="000D3782"/>
    <w:rsid w:val="000D3920"/>
    <w:rsid w:val="000F3463"/>
    <w:rsid w:val="000F68B4"/>
    <w:rsid w:val="00100003"/>
    <w:rsid w:val="00104AF3"/>
    <w:rsid w:val="00111D1F"/>
    <w:rsid w:val="001204F7"/>
    <w:rsid w:val="001221C8"/>
    <w:rsid w:val="00137510"/>
    <w:rsid w:val="00137824"/>
    <w:rsid w:val="001464B1"/>
    <w:rsid w:val="00152166"/>
    <w:rsid w:val="00162832"/>
    <w:rsid w:val="00162ECD"/>
    <w:rsid w:val="0016404C"/>
    <w:rsid w:val="00164628"/>
    <w:rsid w:val="0016573B"/>
    <w:rsid w:val="0017218A"/>
    <w:rsid w:val="00172A83"/>
    <w:rsid w:val="00176194"/>
    <w:rsid w:val="0018617E"/>
    <w:rsid w:val="001B4487"/>
    <w:rsid w:val="001B7D70"/>
    <w:rsid w:val="001C48F9"/>
    <w:rsid w:val="001E5E2F"/>
    <w:rsid w:val="00200B45"/>
    <w:rsid w:val="00204B95"/>
    <w:rsid w:val="00214CA7"/>
    <w:rsid w:val="00220AC6"/>
    <w:rsid w:val="0022610E"/>
    <w:rsid w:val="002349E7"/>
    <w:rsid w:val="0024286A"/>
    <w:rsid w:val="00245241"/>
    <w:rsid w:val="00250B33"/>
    <w:rsid w:val="00255923"/>
    <w:rsid w:val="00255F69"/>
    <w:rsid w:val="002667A3"/>
    <w:rsid w:val="00266FB4"/>
    <w:rsid w:val="00273D0D"/>
    <w:rsid w:val="002818B7"/>
    <w:rsid w:val="002872B1"/>
    <w:rsid w:val="00290BDA"/>
    <w:rsid w:val="00294A4E"/>
    <w:rsid w:val="00294F7E"/>
    <w:rsid w:val="00296995"/>
    <w:rsid w:val="002A3314"/>
    <w:rsid w:val="002A4A62"/>
    <w:rsid w:val="002A5F15"/>
    <w:rsid w:val="002B3BC3"/>
    <w:rsid w:val="002C6A2C"/>
    <w:rsid w:val="002D0467"/>
    <w:rsid w:val="002D1F13"/>
    <w:rsid w:val="002D2244"/>
    <w:rsid w:val="002D7B91"/>
    <w:rsid w:val="002E5DFC"/>
    <w:rsid w:val="002F12AD"/>
    <w:rsid w:val="00321CB5"/>
    <w:rsid w:val="003240B8"/>
    <w:rsid w:val="003270F7"/>
    <w:rsid w:val="003345B3"/>
    <w:rsid w:val="00337F9B"/>
    <w:rsid w:val="00346905"/>
    <w:rsid w:val="003478D0"/>
    <w:rsid w:val="0035391A"/>
    <w:rsid w:val="00356FC0"/>
    <w:rsid w:val="00360689"/>
    <w:rsid w:val="00362CA4"/>
    <w:rsid w:val="0037717C"/>
    <w:rsid w:val="00386F83"/>
    <w:rsid w:val="003874FB"/>
    <w:rsid w:val="003903D7"/>
    <w:rsid w:val="00390B52"/>
    <w:rsid w:val="003922F1"/>
    <w:rsid w:val="003A2B93"/>
    <w:rsid w:val="003A7F0C"/>
    <w:rsid w:val="003B7413"/>
    <w:rsid w:val="003B7F71"/>
    <w:rsid w:val="003C7929"/>
    <w:rsid w:val="003E1C95"/>
    <w:rsid w:val="003F1F0D"/>
    <w:rsid w:val="003F2FFC"/>
    <w:rsid w:val="003F6DC1"/>
    <w:rsid w:val="004059AC"/>
    <w:rsid w:val="00410743"/>
    <w:rsid w:val="00413C9B"/>
    <w:rsid w:val="00416F4F"/>
    <w:rsid w:val="004207D2"/>
    <w:rsid w:val="00433D29"/>
    <w:rsid w:val="00436C46"/>
    <w:rsid w:val="00447951"/>
    <w:rsid w:val="0045088B"/>
    <w:rsid w:val="00451FFB"/>
    <w:rsid w:val="0045376D"/>
    <w:rsid w:val="00460A11"/>
    <w:rsid w:val="00465E83"/>
    <w:rsid w:val="00465EFD"/>
    <w:rsid w:val="0047187F"/>
    <w:rsid w:val="004815A7"/>
    <w:rsid w:val="0048306F"/>
    <w:rsid w:val="00486C79"/>
    <w:rsid w:val="0049293F"/>
    <w:rsid w:val="004A0634"/>
    <w:rsid w:val="004A6F87"/>
    <w:rsid w:val="004B31E0"/>
    <w:rsid w:val="004B3F35"/>
    <w:rsid w:val="004D3786"/>
    <w:rsid w:val="004E447F"/>
    <w:rsid w:val="004E5EF5"/>
    <w:rsid w:val="004E7C04"/>
    <w:rsid w:val="004F1EFD"/>
    <w:rsid w:val="004F366E"/>
    <w:rsid w:val="004F5CDB"/>
    <w:rsid w:val="005013E1"/>
    <w:rsid w:val="00504F68"/>
    <w:rsid w:val="00507868"/>
    <w:rsid w:val="0051595C"/>
    <w:rsid w:val="0052161B"/>
    <w:rsid w:val="00525BC6"/>
    <w:rsid w:val="00535FBD"/>
    <w:rsid w:val="00551016"/>
    <w:rsid w:val="00564E33"/>
    <w:rsid w:val="00566228"/>
    <w:rsid w:val="00573502"/>
    <w:rsid w:val="00573E64"/>
    <w:rsid w:val="0058510C"/>
    <w:rsid w:val="00591F8D"/>
    <w:rsid w:val="005A7C6F"/>
    <w:rsid w:val="005B6720"/>
    <w:rsid w:val="005C0024"/>
    <w:rsid w:val="005C1888"/>
    <w:rsid w:val="005E03CF"/>
    <w:rsid w:val="005F0394"/>
    <w:rsid w:val="005F4BD3"/>
    <w:rsid w:val="005F4C8C"/>
    <w:rsid w:val="006008C9"/>
    <w:rsid w:val="00602A19"/>
    <w:rsid w:val="00613F47"/>
    <w:rsid w:val="006267C5"/>
    <w:rsid w:val="00630ED1"/>
    <w:rsid w:val="0066265E"/>
    <w:rsid w:val="00663C4F"/>
    <w:rsid w:val="00672861"/>
    <w:rsid w:val="0069617B"/>
    <w:rsid w:val="006A5BCB"/>
    <w:rsid w:val="006C3C60"/>
    <w:rsid w:val="006D502B"/>
    <w:rsid w:val="006E0A59"/>
    <w:rsid w:val="006E644A"/>
    <w:rsid w:val="006E6D8A"/>
    <w:rsid w:val="006F2C26"/>
    <w:rsid w:val="00707AA4"/>
    <w:rsid w:val="00716128"/>
    <w:rsid w:val="00723807"/>
    <w:rsid w:val="0072564B"/>
    <w:rsid w:val="00763146"/>
    <w:rsid w:val="00784FB7"/>
    <w:rsid w:val="00793491"/>
    <w:rsid w:val="007A7C3B"/>
    <w:rsid w:val="007B0DB5"/>
    <w:rsid w:val="007B7D3D"/>
    <w:rsid w:val="007F1FD6"/>
    <w:rsid w:val="007F4EA5"/>
    <w:rsid w:val="007F730D"/>
    <w:rsid w:val="00801252"/>
    <w:rsid w:val="00802D59"/>
    <w:rsid w:val="00810171"/>
    <w:rsid w:val="0081720F"/>
    <w:rsid w:val="00825DD2"/>
    <w:rsid w:val="008558BD"/>
    <w:rsid w:val="008612E8"/>
    <w:rsid w:val="008760F2"/>
    <w:rsid w:val="0087656E"/>
    <w:rsid w:val="00876896"/>
    <w:rsid w:val="0088527E"/>
    <w:rsid w:val="00890F40"/>
    <w:rsid w:val="00897772"/>
    <w:rsid w:val="00897F8B"/>
    <w:rsid w:val="008B3605"/>
    <w:rsid w:val="008B3884"/>
    <w:rsid w:val="008C47C5"/>
    <w:rsid w:val="008E27E3"/>
    <w:rsid w:val="008E5C33"/>
    <w:rsid w:val="008E713C"/>
    <w:rsid w:val="008F5FDB"/>
    <w:rsid w:val="00911D0D"/>
    <w:rsid w:val="00931EF8"/>
    <w:rsid w:val="00942681"/>
    <w:rsid w:val="00945888"/>
    <w:rsid w:val="00947AE4"/>
    <w:rsid w:val="00950168"/>
    <w:rsid w:val="00952747"/>
    <w:rsid w:val="00952A64"/>
    <w:rsid w:val="00954645"/>
    <w:rsid w:val="00957171"/>
    <w:rsid w:val="009809EB"/>
    <w:rsid w:val="009964FE"/>
    <w:rsid w:val="009A07B8"/>
    <w:rsid w:val="009A36B1"/>
    <w:rsid w:val="009A567F"/>
    <w:rsid w:val="009B3C54"/>
    <w:rsid w:val="009B65D9"/>
    <w:rsid w:val="009C0BC8"/>
    <w:rsid w:val="009E1756"/>
    <w:rsid w:val="009E2BB8"/>
    <w:rsid w:val="009F15AA"/>
    <w:rsid w:val="009F3BEC"/>
    <w:rsid w:val="00A03FBE"/>
    <w:rsid w:val="00A37695"/>
    <w:rsid w:val="00A573EB"/>
    <w:rsid w:val="00A6403E"/>
    <w:rsid w:val="00A66316"/>
    <w:rsid w:val="00A74508"/>
    <w:rsid w:val="00A804D8"/>
    <w:rsid w:val="00A85BCA"/>
    <w:rsid w:val="00AA6052"/>
    <w:rsid w:val="00AB0ECA"/>
    <w:rsid w:val="00AB3F16"/>
    <w:rsid w:val="00AC4D1A"/>
    <w:rsid w:val="00AD2215"/>
    <w:rsid w:val="00AD40FD"/>
    <w:rsid w:val="00AD4582"/>
    <w:rsid w:val="00AD5FE8"/>
    <w:rsid w:val="00AE6A9B"/>
    <w:rsid w:val="00AF540C"/>
    <w:rsid w:val="00B00BAF"/>
    <w:rsid w:val="00B04891"/>
    <w:rsid w:val="00B125E6"/>
    <w:rsid w:val="00B2788A"/>
    <w:rsid w:val="00B3062C"/>
    <w:rsid w:val="00B33E13"/>
    <w:rsid w:val="00B34D9E"/>
    <w:rsid w:val="00B37579"/>
    <w:rsid w:val="00B4407D"/>
    <w:rsid w:val="00B50AF4"/>
    <w:rsid w:val="00B70422"/>
    <w:rsid w:val="00B82636"/>
    <w:rsid w:val="00B83046"/>
    <w:rsid w:val="00B84A52"/>
    <w:rsid w:val="00B84DE0"/>
    <w:rsid w:val="00B86E3B"/>
    <w:rsid w:val="00B935A2"/>
    <w:rsid w:val="00BA55D9"/>
    <w:rsid w:val="00BA671D"/>
    <w:rsid w:val="00BC024D"/>
    <w:rsid w:val="00BC2A18"/>
    <w:rsid w:val="00BC50F8"/>
    <w:rsid w:val="00BC68D4"/>
    <w:rsid w:val="00BD1B37"/>
    <w:rsid w:val="00BD316B"/>
    <w:rsid w:val="00BE550F"/>
    <w:rsid w:val="00C00117"/>
    <w:rsid w:val="00C133EB"/>
    <w:rsid w:val="00C2090C"/>
    <w:rsid w:val="00C20B37"/>
    <w:rsid w:val="00C348A2"/>
    <w:rsid w:val="00C41FB1"/>
    <w:rsid w:val="00C51221"/>
    <w:rsid w:val="00C60022"/>
    <w:rsid w:val="00C92569"/>
    <w:rsid w:val="00C96213"/>
    <w:rsid w:val="00CB12C3"/>
    <w:rsid w:val="00CB278B"/>
    <w:rsid w:val="00CB2970"/>
    <w:rsid w:val="00CC0193"/>
    <w:rsid w:val="00CC22C6"/>
    <w:rsid w:val="00CD2399"/>
    <w:rsid w:val="00CD41A3"/>
    <w:rsid w:val="00CD4B1A"/>
    <w:rsid w:val="00CE482F"/>
    <w:rsid w:val="00CF1CF1"/>
    <w:rsid w:val="00D15EE8"/>
    <w:rsid w:val="00D23C79"/>
    <w:rsid w:val="00D24537"/>
    <w:rsid w:val="00D26B47"/>
    <w:rsid w:val="00D26C3C"/>
    <w:rsid w:val="00D30805"/>
    <w:rsid w:val="00D30B6D"/>
    <w:rsid w:val="00D42F0D"/>
    <w:rsid w:val="00D44BD9"/>
    <w:rsid w:val="00D566FC"/>
    <w:rsid w:val="00D65106"/>
    <w:rsid w:val="00D679F8"/>
    <w:rsid w:val="00D76525"/>
    <w:rsid w:val="00D87054"/>
    <w:rsid w:val="00D91BB8"/>
    <w:rsid w:val="00DA1B5B"/>
    <w:rsid w:val="00DA7ED3"/>
    <w:rsid w:val="00DB3870"/>
    <w:rsid w:val="00DB5C61"/>
    <w:rsid w:val="00DC020E"/>
    <w:rsid w:val="00DE1382"/>
    <w:rsid w:val="00DE5ABD"/>
    <w:rsid w:val="00DE787F"/>
    <w:rsid w:val="00DF4C10"/>
    <w:rsid w:val="00DF6914"/>
    <w:rsid w:val="00DF6DFC"/>
    <w:rsid w:val="00E10346"/>
    <w:rsid w:val="00E12802"/>
    <w:rsid w:val="00E13890"/>
    <w:rsid w:val="00E14A8D"/>
    <w:rsid w:val="00E227DC"/>
    <w:rsid w:val="00E22E1F"/>
    <w:rsid w:val="00E30E2B"/>
    <w:rsid w:val="00E4332E"/>
    <w:rsid w:val="00E447CC"/>
    <w:rsid w:val="00E456ED"/>
    <w:rsid w:val="00E54812"/>
    <w:rsid w:val="00E6440C"/>
    <w:rsid w:val="00E6624E"/>
    <w:rsid w:val="00EA7CDB"/>
    <w:rsid w:val="00EA7F5A"/>
    <w:rsid w:val="00ED2039"/>
    <w:rsid w:val="00ED3405"/>
    <w:rsid w:val="00ED3C23"/>
    <w:rsid w:val="00ED744F"/>
    <w:rsid w:val="00ED7E8F"/>
    <w:rsid w:val="00EF11B2"/>
    <w:rsid w:val="00EF1DD9"/>
    <w:rsid w:val="00F01CE6"/>
    <w:rsid w:val="00F0551F"/>
    <w:rsid w:val="00F1160C"/>
    <w:rsid w:val="00F1384E"/>
    <w:rsid w:val="00F164C9"/>
    <w:rsid w:val="00F16910"/>
    <w:rsid w:val="00F30FF4"/>
    <w:rsid w:val="00F40ED1"/>
    <w:rsid w:val="00F47891"/>
    <w:rsid w:val="00F53DB3"/>
    <w:rsid w:val="00F54171"/>
    <w:rsid w:val="00F5709D"/>
    <w:rsid w:val="00F61BF6"/>
    <w:rsid w:val="00F74FAB"/>
    <w:rsid w:val="00F85622"/>
    <w:rsid w:val="00F967B4"/>
    <w:rsid w:val="00FA132F"/>
    <w:rsid w:val="00FA2D3D"/>
    <w:rsid w:val="00FA4DE5"/>
    <w:rsid w:val="00FA61DC"/>
    <w:rsid w:val="00FA7C01"/>
    <w:rsid w:val="00FB178C"/>
    <w:rsid w:val="00FB483F"/>
    <w:rsid w:val="00FC28E1"/>
    <w:rsid w:val="00FC665D"/>
    <w:rsid w:val="00FD0A60"/>
    <w:rsid w:val="00FD3784"/>
    <w:rsid w:val="00FD687B"/>
    <w:rsid w:val="00FE0AFB"/>
    <w:rsid w:val="00FE2F08"/>
    <w:rsid w:val="00FE336D"/>
    <w:rsid w:val="00FF174F"/>
    <w:rsid w:val="00FF663E"/>
    <w:rsid w:val="10E0548A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  <w:rPr/>
  </w:style>
  <w:style w:type="character" w:styleId="8">
    <w:name w:val="Hyperlink"/>
    <w:basedOn w:val="6"/>
    <w:uiPriority w:val="0"/>
    <w:rPr>
      <w:color w:val="0000FF"/>
      <w:u w:val="single"/>
    </w:rPr>
  </w:style>
  <w:style w:type="character" w:customStyle="1" w:styleId="10">
    <w:name w:val="页脚 Char"/>
    <w:basedOn w:val="6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kch</Company>
  <Pages>3</Pages>
  <Words>180</Words>
  <Characters>1028</Characters>
  <Lines>8</Lines>
  <Paragraphs>2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2016-12-27T01:22:00Z</dcterms:created>
  <dc:creator>kch</dc:creator>
  <cp:lastModifiedBy>HP</cp:lastModifiedBy>
  <cp:lastPrinted>2013-12-27T01:08:00Z</cp:lastPrinted>
  <dcterms:modified xsi:type="dcterms:W3CDTF">2018-01-18T01:25:06Z</dcterms:modified>
  <dc:title>关于征集2007年度红双喜《联盟计划》项目的公告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